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240"/>
        <w:jc w:val="center"/>
      </w:pPr>
      <w:r>
        <w:rPr>
          <w:rFonts w:ascii="Times New Roman" w:cs="Times New Roman" w:eastAsia="Times New Roman" w:hAnsi="Times New Roman"/>
          <w:b/>
          <w:bCs/>
          <w:sz w:val="28"/>
          <w:szCs w:val="28"/>
        </w:rPr>
        <w:t xml:space="preserve">[DISCUSSION DRAFT]</w:t>
      </w:r>
    </w:p>
    <w:p>
      <w:pPr>
        <w:spacing w:after="140" w:line="276"/>
        <w:jc w:val="center"/>
      </w:pPr>
      <w:r>
        <w:rPr>
          <w:rFonts w:ascii="Times New Roman" w:cs="Times New Roman" w:eastAsia="Times New Roman" w:hAnsi="Times New Roman"/>
          <w:sz w:val="22"/>
          <w:szCs w:val="22"/>
        </w:rPr>
        <w:t xml:space="preserve">119TH CONGRESS 2D SESSION</w:t>
      </w:r>
    </w:p>
    <w:p>
      <w:pPr>
        <w:spacing w:after="160" w:before="240"/>
        <w:jc w:val="center"/>
      </w:pPr>
      <w:r>
        <w:rPr>
          <w:rFonts w:ascii="Times New Roman" w:cs="Times New Roman" w:eastAsia="Times New Roman" w:hAnsi="Times New Roman"/>
          <w:b/>
          <w:bCs/>
          <w:sz w:val="28"/>
          <w:szCs w:val="28"/>
        </w:rPr>
        <w:t xml:space="preserve">H. R. ____</w:t>
      </w:r>
    </w:p>
    <w:p>
      <w:pPr>
        <w:spacing w:after="140" w:line="276"/>
        <w:jc w:val="center"/>
      </w:pPr>
      <w:r>
        <w:rPr>
          <w:rFonts w:ascii="Times New Roman" w:cs="Times New Roman" w:eastAsia="Times New Roman" w:hAnsi="Times New Roman"/>
          <w:sz w:val="22"/>
          <w:szCs w:val="22"/>
        </w:rPr>
        <w:t xml:space="preserve">IN THE HOUSE OF REPRESENTATIVES</w:t>
      </w:r>
    </w:p>
    <w:p>
      <w:pPr>
        <w:spacing w:after="140" w:line="276"/>
        <w:jc w:val="center"/>
      </w:pPr>
      <w:r>
        <w:rPr>
          <w:rFonts w:ascii="Times New Roman" w:cs="Times New Roman" w:eastAsia="Times New Roman" w:hAnsi="Times New Roman"/>
          <w:sz w:val="22"/>
          <w:szCs w:val="22"/>
        </w:rPr>
        <w:t xml:space="preserve">[Date of introduction]</w:t>
      </w:r>
    </w:p>
    <w:p>
      <w:pPr>
        <w:spacing w:after="140" w:line="276"/>
        <w:jc w:val="both"/>
      </w:pPr>
      <w:r>
        <w:rPr>
          <w:rFonts w:ascii="Times New Roman" w:cs="Times New Roman" w:eastAsia="Times New Roman" w:hAnsi="Times New Roman"/>
          <w:sz w:val="22"/>
          <w:szCs w:val="22"/>
        </w:rPr>
        <w:t xml:space="preserve">Mr./Ms. [Sponsor] (for himself/herself and Mr./Ms. [Co-sponsors]) introduced the following bill; which was referred to the Committee on Financial Services, and in addition to the Committees on Education and the Workforce, Energy and Commerce, the Judiciary, Veterans' Affairs, Agriculture, and Ways and Means, for a period to be subsequently determined by the Speaker, in each case for consideration of such provisions as fall within the jurisdiction of the committee concerned.</w:t>
      </w:r>
    </w:p>
    <w:p>
      <w:pPr>
        <w:spacing w:after="160" w:before="240"/>
        <w:jc w:val="center"/>
      </w:pPr>
      <w:r>
        <w:rPr>
          <w:rFonts w:ascii="Times New Roman" w:cs="Times New Roman" w:eastAsia="Times New Roman" w:hAnsi="Times New Roman"/>
          <w:b/>
          <w:bCs/>
          <w:sz w:val="28"/>
          <w:szCs w:val="28"/>
        </w:rPr>
        <w:t xml:space="preserve">A BILL</w:t>
      </w:r>
    </w:p>
    <w:p>
      <w:pPr>
        <w:spacing w:after="140" w:line="276"/>
        <w:jc w:val="both"/>
      </w:pPr>
      <w:r>
        <w:rPr>
          <w:rFonts w:ascii="Times New Roman" w:cs="Times New Roman" w:eastAsia="Times New Roman" w:hAnsi="Times New Roman"/>
          <w:sz w:val="22"/>
          <w:szCs w:val="22"/>
        </w:rPr>
        <w:t xml:space="preserve">To prevent homelessness at its sources, to stabilize households and communities, to end the discharge of persons from public systems into homelessness, to pay for verified results, and for other purposes.</w:t>
      </w:r>
    </w:p>
    <w:p>
      <w:pPr>
        <w:spacing w:after="140" w:line="276"/>
        <w:jc w:val="both"/>
      </w:pPr>
      <w:r>
        <w:rPr>
          <w:rFonts w:ascii="Times New Roman" w:cs="Times New Roman" w:eastAsia="Times New Roman" w:hAnsi="Times New Roman"/>
          <w:i/>
          <w:iCs/>
          <w:sz w:val="22"/>
          <w:szCs w:val="22"/>
        </w:rPr>
        <w:t xml:space="preserve">Be it enacted by the Senate and House of Representatives of the United States of America in Congress assembled,</w:t>
      </w:r>
    </w:p>
    <w:p>
      <w:pPr>
        <w:spacing w:after="120" w:before="280"/>
        <w:jc w:val="left"/>
      </w:pPr>
      <w:r>
        <w:rPr>
          <w:rFonts w:ascii="Times New Roman" w:cs="Times New Roman" w:eastAsia="Times New Roman" w:hAnsi="Times New Roman"/>
          <w:b/>
          <w:bCs/>
          <w:sz w:val="23"/>
          <w:szCs w:val="23"/>
        </w:rPr>
        <w:t xml:space="preserve">SECTION 1. SHORT TITLE; TABLE OF CONTENTS.</w:t>
      </w:r>
    </w:p>
    <w:p>
      <w:pPr>
        <w:spacing w:after="140" w:line="276"/>
        <w:jc w:val="both"/>
      </w:pPr>
      <w:r>
        <w:rPr>
          <w:rFonts w:ascii="Times New Roman" w:cs="Times New Roman" w:eastAsia="Times New Roman" w:hAnsi="Times New Roman"/>
          <w:sz w:val="22"/>
          <w:szCs w:val="22"/>
        </w:rPr>
        <w:t xml:space="preserve">(a) SHORT TITLE.—This Act may be cited as the "Delivering Opportunity, Outcomes, and Recovery to Housing Act" or the "DOOR to Housing Act of 2026".</w:t>
      </w:r>
    </w:p>
    <w:p>
      <w:pPr>
        <w:spacing w:after="140" w:line="276"/>
        <w:jc w:val="both"/>
      </w:pPr>
      <w:r>
        <w:rPr>
          <w:rFonts w:ascii="Times New Roman" w:cs="Times New Roman" w:eastAsia="Times New Roman" w:hAnsi="Times New Roman"/>
          <w:sz w:val="22"/>
          <w:szCs w:val="22"/>
        </w:rPr>
        <w:t xml:space="preserve">(b) TABLE OF CONTENTS.—The table of contents for this Act is as follows:</w:t>
      </w:r>
    </w:p>
    <w:p>
      <w:pPr>
        <w:spacing w:after="20" w:line="240"/>
        <w:ind w:left="863"/>
      </w:pPr>
      <w:r>
        <w:rPr>
          <w:rFonts w:ascii="Times New Roman" w:cs="Times New Roman" w:eastAsia="Times New Roman" w:hAnsi="Times New Roman"/>
          <w:sz w:val="20"/>
          <w:szCs w:val="20"/>
        </w:rPr>
        <w:t xml:space="preserve">Sec. 1. Short title; table of contents.</w:t>
      </w:r>
    </w:p>
    <w:p>
      <w:pPr>
        <w:spacing w:after="20" w:line="240"/>
        <w:ind w:left="863"/>
      </w:pPr>
      <w:r>
        <w:rPr>
          <w:rFonts w:ascii="Times New Roman" w:cs="Times New Roman" w:eastAsia="Times New Roman" w:hAnsi="Times New Roman"/>
          <w:sz w:val="20"/>
          <w:szCs w:val="20"/>
        </w:rPr>
        <w:t xml:space="preserve">Sec. 2. Findings.</w:t>
      </w:r>
    </w:p>
    <w:p>
      <w:pPr>
        <w:spacing w:after="20" w:line="240"/>
        <w:ind w:left="863"/>
      </w:pPr>
      <w:r>
        <w:rPr>
          <w:rFonts w:ascii="Times New Roman" w:cs="Times New Roman" w:eastAsia="Times New Roman" w:hAnsi="Times New Roman"/>
          <w:sz w:val="20"/>
          <w:szCs w:val="20"/>
        </w:rPr>
        <w:t xml:space="preserve">Sec. 3. Purposes; national goal.</w:t>
      </w:r>
    </w:p>
    <w:p>
      <w:pPr>
        <w:spacing w:after="20" w:line="240"/>
        <w:ind w:left="863"/>
      </w:pPr>
      <w:r>
        <w:rPr>
          <w:rFonts w:ascii="Times New Roman" w:cs="Times New Roman" w:eastAsia="Times New Roman" w:hAnsi="Times New Roman"/>
          <w:sz w:val="20"/>
          <w:szCs w:val="20"/>
        </w:rPr>
        <w:t xml:space="preserve">Sec. 4. Definitions.</w:t>
      </w:r>
    </w:p>
    <w:p>
      <w:pPr>
        <w:spacing w:after="20" w:line="240"/>
        <w:ind w:left="863"/>
      </w:pPr>
      <w:r>
        <w:rPr>
          <w:rFonts w:ascii="Times New Roman" w:cs="Times New Roman" w:eastAsia="Times New Roman" w:hAnsi="Times New Roman"/>
          <w:sz w:val="20"/>
          <w:szCs w:val="20"/>
        </w:rPr>
        <w:t xml:space="preserve"/>
      </w:r>
    </w:p>
    <w:p>
      <w:pPr>
        <w:spacing w:after="20" w:line="240"/>
        <w:ind w:left="863"/>
      </w:pPr>
      <w:r>
        <w:rPr>
          <w:rFonts w:ascii="Times New Roman" w:cs="Times New Roman" w:eastAsia="Times New Roman" w:hAnsi="Times New Roman"/>
          <w:sz w:val="20"/>
          <w:szCs w:val="20"/>
        </w:rPr>
        <w:t xml:space="preserve">TITLE I—HOMELESSNESS PREVENTION AND HOUSING STABILITY</w:t>
      </w:r>
    </w:p>
    <w:p>
      <w:pPr>
        <w:spacing w:after="20" w:line="240"/>
        <w:ind w:left="863"/>
      </w:pPr>
      <w:r>
        <w:rPr>
          <w:rFonts w:ascii="Times New Roman" w:cs="Times New Roman" w:eastAsia="Times New Roman" w:hAnsi="Times New Roman"/>
          <w:sz w:val="20"/>
          <w:szCs w:val="20"/>
        </w:rPr>
        <w:t xml:space="preserve">Sec. 101. Housing Stability Grant Program.</w:t>
      </w:r>
    </w:p>
    <w:p>
      <w:pPr>
        <w:spacing w:after="20" w:line="240"/>
        <w:ind w:left="863"/>
      </w:pPr>
      <w:r>
        <w:rPr>
          <w:rFonts w:ascii="Times New Roman" w:cs="Times New Roman" w:eastAsia="Times New Roman" w:hAnsi="Times New Roman"/>
          <w:sz w:val="20"/>
          <w:szCs w:val="20"/>
        </w:rPr>
        <w:t xml:space="preserve">Sec. 102. Eligible uses.</w:t>
      </w:r>
    </w:p>
    <w:p>
      <w:pPr>
        <w:spacing w:after="20" w:line="240"/>
        <w:ind w:left="863"/>
      </w:pPr>
      <w:r>
        <w:rPr>
          <w:rFonts w:ascii="Times New Roman" w:cs="Times New Roman" w:eastAsia="Times New Roman" w:hAnsi="Times New Roman"/>
          <w:sz w:val="20"/>
          <w:szCs w:val="20"/>
        </w:rPr>
        <w:t xml:space="preserve">Sec. 103. No-prerequisite and rapid-response standards.</w:t>
      </w:r>
    </w:p>
    <w:p>
      <w:pPr>
        <w:spacing w:after="20" w:line="240"/>
        <w:ind w:left="863"/>
      </w:pPr>
      <w:r>
        <w:rPr>
          <w:rFonts w:ascii="Times New Roman" w:cs="Times New Roman" w:eastAsia="Times New Roman" w:hAnsi="Times New Roman"/>
          <w:sz w:val="20"/>
          <w:szCs w:val="20"/>
        </w:rPr>
        <w:t xml:space="preserve">Sec. 104. Targeting and program integrity.</w:t>
      </w:r>
    </w:p>
    <w:p>
      <w:pPr>
        <w:spacing w:after="20" w:line="240"/>
        <w:ind w:left="863"/>
      </w:pPr>
      <w:r>
        <w:rPr>
          <w:rFonts w:ascii="Times New Roman" w:cs="Times New Roman" w:eastAsia="Times New Roman" w:hAnsi="Times New Roman"/>
          <w:sz w:val="20"/>
          <w:szCs w:val="20"/>
        </w:rPr>
        <w:t xml:space="preserve">Sec. 105. Housing provider participation.</w:t>
      </w:r>
    </w:p>
    <w:p>
      <w:pPr>
        <w:spacing w:after="20" w:line="240"/>
        <w:ind w:left="863"/>
      </w:pPr>
      <w:r>
        <w:rPr>
          <w:rFonts w:ascii="Times New Roman" w:cs="Times New Roman" w:eastAsia="Times New Roman" w:hAnsi="Times New Roman"/>
          <w:sz w:val="20"/>
          <w:szCs w:val="20"/>
        </w:rPr>
        <w:t xml:space="preserve">Sec. 106. Rural, Tribal, and territorial allocations.</w:t>
      </w:r>
    </w:p>
    <w:p>
      <w:pPr>
        <w:spacing w:after="20" w:line="240"/>
        <w:ind w:left="863"/>
      </w:pPr>
      <w:r>
        <w:rPr>
          <w:rFonts w:ascii="Times New Roman" w:cs="Times New Roman" w:eastAsia="Times New Roman" w:hAnsi="Times New Roman"/>
          <w:sz w:val="20"/>
          <w:szCs w:val="20"/>
        </w:rPr>
        <w:t xml:space="preserve"/>
      </w:r>
    </w:p>
    <w:p>
      <w:pPr>
        <w:spacing w:after="20" w:line="240"/>
        <w:ind w:left="863"/>
      </w:pPr>
      <w:r>
        <w:rPr>
          <w:rFonts w:ascii="Times New Roman" w:cs="Times New Roman" w:eastAsia="Times New Roman" w:hAnsi="Times New Roman"/>
          <w:sz w:val="20"/>
          <w:szCs w:val="20"/>
        </w:rPr>
        <w:t xml:space="preserve">TITLE II—EVICTION PREVENTION AND COURT-BASED DIVERSION</w:t>
      </w:r>
    </w:p>
    <w:p>
      <w:pPr>
        <w:spacing w:after="20" w:line="240"/>
        <w:ind w:left="863"/>
      </w:pPr>
      <w:r>
        <w:rPr>
          <w:rFonts w:ascii="Times New Roman" w:cs="Times New Roman" w:eastAsia="Times New Roman" w:hAnsi="Times New Roman"/>
          <w:sz w:val="20"/>
          <w:szCs w:val="20"/>
        </w:rPr>
        <w:t xml:space="preserve">Sec. 201. Eviction diversion grants.</w:t>
      </w:r>
    </w:p>
    <w:p>
      <w:pPr>
        <w:spacing w:after="20" w:line="240"/>
        <w:ind w:left="863"/>
      </w:pPr>
      <w:r>
        <w:rPr>
          <w:rFonts w:ascii="Times New Roman" w:cs="Times New Roman" w:eastAsia="Times New Roman" w:hAnsi="Times New Roman"/>
          <w:sz w:val="20"/>
          <w:szCs w:val="20"/>
        </w:rPr>
        <w:t xml:space="preserve">Sec. 202. State court partnership.</w:t>
      </w:r>
    </w:p>
    <w:p>
      <w:pPr>
        <w:spacing w:after="20" w:line="240"/>
        <w:ind w:left="863"/>
      </w:pPr>
      <w:r>
        <w:rPr>
          <w:rFonts w:ascii="Times New Roman" w:cs="Times New Roman" w:eastAsia="Times New Roman" w:hAnsi="Times New Roman"/>
          <w:sz w:val="20"/>
          <w:szCs w:val="20"/>
        </w:rPr>
        <w:t xml:space="preserve">Sec. 203. Emergency assistance for sudden economic shock.</w:t>
      </w:r>
    </w:p>
    <w:p>
      <w:pPr>
        <w:spacing w:after="20" w:line="240"/>
        <w:ind w:left="863"/>
      </w:pPr>
      <w:r>
        <w:rPr>
          <w:rFonts w:ascii="Times New Roman" w:cs="Times New Roman" w:eastAsia="Times New Roman" w:hAnsi="Times New Roman"/>
          <w:sz w:val="20"/>
          <w:szCs w:val="20"/>
        </w:rPr>
        <w:t xml:space="preserve">Sec. 204. Rules of construction.</w:t>
      </w:r>
    </w:p>
    <w:p>
      <w:pPr>
        <w:spacing w:after="20" w:line="240"/>
        <w:ind w:left="863"/>
      </w:pPr>
      <w:r>
        <w:rPr>
          <w:rFonts w:ascii="Times New Roman" w:cs="Times New Roman" w:eastAsia="Times New Roman" w:hAnsi="Times New Roman"/>
          <w:sz w:val="20"/>
          <w:szCs w:val="20"/>
        </w:rPr>
        <w:t xml:space="preserve"/>
      </w:r>
    </w:p>
    <w:p>
      <w:pPr>
        <w:spacing w:after="20" w:line="240"/>
        <w:ind w:left="863"/>
      </w:pPr>
      <w:r>
        <w:rPr>
          <w:rFonts w:ascii="Times New Roman" w:cs="Times New Roman" w:eastAsia="Times New Roman" w:hAnsi="Times New Roman"/>
          <w:sz w:val="20"/>
          <w:szCs w:val="20"/>
        </w:rPr>
        <w:t xml:space="preserve">TITLE III—NO EXIT INTO HOMELESSNESS</w:t>
      </w:r>
    </w:p>
    <w:p>
      <w:pPr>
        <w:spacing w:after="20" w:line="240"/>
        <w:ind w:left="863"/>
      </w:pPr>
      <w:r>
        <w:rPr>
          <w:rFonts w:ascii="Times New Roman" w:cs="Times New Roman" w:eastAsia="Times New Roman" w:hAnsi="Times New Roman"/>
          <w:sz w:val="20"/>
          <w:szCs w:val="20"/>
        </w:rPr>
        <w:t xml:space="preserve">Sec. 301. Federal discharge standard.</w:t>
      </w:r>
    </w:p>
    <w:p>
      <w:pPr>
        <w:spacing w:after="20" w:line="240"/>
        <w:ind w:left="863"/>
      </w:pPr>
      <w:r>
        <w:rPr>
          <w:rFonts w:ascii="Times New Roman" w:cs="Times New Roman" w:eastAsia="Times New Roman" w:hAnsi="Times New Roman"/>
          <w:sz w:val="20"/>
          <w:szCs w:val="20"/>
        </w:rPr>
        <w:t xml:space="preserve">Sec. 302. State and local discharge partnership grants.</w:t>
      </w:r>
    </w:p>
    <w:p>
      <w:pPr>
        <w:spacing w:after="20" w:line="240"/>
        <w:ind w:left="863"/>
      </w:pPr>
      <w:r>
        <w:rPr>
          <w:rFonts w:ascii="Times New Roman" w:cs="Times New Roman" w:eastAsia="Times New Roman" w:hAnsi="Times New Roman"/>
          <w:sz w:val="20"/>
          <w:szCs w:val="20"/>
        </w:rPr>
        <w:t xml:space="preserve">Sec. 303. Foster youth housing bridge.</w:t>
      </w:r>
    </w:p>
    <w:p>
      <w:pPr>
        <w:spacing w:after="20" w:line="240"/>
        <w:ind w:left="863"/>
      </w:pPr>
      <w:r>
        <w:rPr>
          <w:rFonts w:ascii="Times New Roman" w:cs="Times New Roman" w:eastAsia="Times New Roman" w:hAnsi="Times New Roman"/>
          <w:sz w:val="20"/>
          <w:szCs w:val="20"/>
        </w:rPr>
        <w:t xml:space="preserve">Sec. 304. Reentry housing navigation.</w:t>
      </w:r>
    </w:p>
    <w:p>
      <w:pPr>
        <w:spacing w:after="20" w:line="240"/>
        <w:ind w:left="863"/>
      </w:pPr>
      <w:r>
        <w:rPr>
          <w:rFonts w:ascii="Times New Roman" w:cs="Times New Roman" w:eastAsia="Times New Roman" w:hAnsi="Times New Roman"/>
          <w:sz w:val="20"/>
          <w:szCs w:val="20"/>
        </w:rPr>
        <w:t xml:space="preserve">Sec. 305. Servicemember transition coordination.</w:t>
      </w:r>
    </w:p>
    <w:p>
      <w:pPr>
        <w:spacing w:after="20" w:line="240"/>
        <w:ind w:left="863"/>
      </w:pPr>
      <w:r>
        <w:rPr>
          <w:rFonts w:ascii="Times New Roman" w:cs="Times New Roman" w:eastAsia="Times New Roman" w:hAnsi="Times New Roman"/>
          <w:sz w:val="20"/>
          <w:szCs w:val="20"/>
        </w:rPr>
        <w:t xml:space="preserve"/>
      </w:r>
    </w:p>
    <w:p>
      <w:pPr>
        <w:spacing w:after="20" w:line="240"/>
        <w:ind w:left="863"/>
      </w:pPr>
      <w:r>
        <w:rPr>
          <w:rFonts w:ascii="Times New Roman" w:cs="Times New Roman" w:eastAsia="Times New Roman" w:hAnsi="Times New Roman"/>
          <w:sz w:val="20"/>
          <w:szCs w:val="20"/>
        </w:rPr>
        <w:t xml:space="preserve">TITLE IV—STABILIZATION HOUSING AND RECOVERY SUPPORTS</w:t>
      </w:r>
    </w:p>
    <w:p>
      <w:pPr>
        <w:spacing w:after="20" w:line="240"/>
        <w:ind w:left="863"/>
      </w:pPr>
      <w:r>
        <w:rPr>
          <w:rFonts w:ascii="Times New Roman" w:cs="Times New Roman" w:eastAsia="Times New Roman" w:hAnsi="Times New Roman"/>
          <w:sz w:val="20"/>
          <w:szCs w:val="20"/>
        </w:rPr>
        <w:t xml:space="preserve">Sec. 401. Stabilization housing grants.</w:t>
      </w:r>
    </w:p>
    <w:p>
      <w:pPr>
        <w:spacing w:after="20" w:line="240"/>
        <w:ind w:left="863"/>
      </w:pPr>
      <w:r>
        <w:rPr>
          <w:rFonts w:ascii="Times New Roman" w:cs="Times New Roman" w:eastAsia="Times New Roman" w:hAnsi="Times New Roman"/>
          <w:sz w:val="20"/>
          <w:szCs w:val="20"/>
        </w:rPr>
        <w:t xml:space="preserve">Sec. 402. Recovery housing standards.</w:t>
      </w:r>
    </w:p>
    <w:p>
      <w:pPr>
        <w:spacing w:after="20" w:line="240"/>
        <w:ind w:left="863"/>
      </w:pPr>
      <w:r>
        <w:rPr>
          <w:rFonts w:ascii="Times New Roman" w:cs="Times New Roman" w:eastAsia="Times New Roman" w:hAnsi="Times New Roman"/>
          <w:sz w:val="20"/>
          <w:szCs w:val="20"/>
        </w:rPr>
        <w:t xml:space="preserve">Sec. 403. Model plurality; no dead ends.</w:t>
      </w:r>
    </w:p>
    <w:p>
      <w:pPr>
        <w:spacing w:after="20" w:line="240"/>
        <w:ind w:left="863"/>
      </w:pPr>
      <w:r>
        <w:rPr>
          <w:rFonts w:ascii="Times New Roman" w:cs="Times New Roman" w:eastAsia="Times New Roman" w:hAnsi="Times New Roman"/>
          <w:sz w:val="20"/>
          <w:szCs w:val="20"/>
        </w:rPr>
        <w:t xml:space="preserve">Sec. 404. Use of existing property and supply authorities.</w:t>
      </w:r>
    </w:p>
    <w:p>
      <w:pPr>
        <w:spacing w:after="20" w:line="240"/>
        <w:ind w:left="863"/>
      </w:pPr>
      <w:r>
        <w:rPr>
          <w:rFonts w:ascii="Times New Roman" w:cs="Times New Roman" w:eastAsia="Times New Roman" w:hAnsi="Times New Roman"/>
          <w:sz w:val="20"/>
          <w:szCs w:val="20"/>
        </w:rPr>
        <w:t xml:space="preserve"/>
      </w:r>
    </w:p>
    <w:p>
      <w:pPr>
        <w:spacing w:after="20" w:line="240"/>
        <w:ind w:left="863"/>
      </w:pPr>
      <w:r>
        <w:rPr>
          <w:rFonts w:ascii="Times New Roman" w:cs="Times New Roman" w:eastAsia="Times New Roman" w:hAnsi="Times New Roman"/>
          <w:sz w:val="20"/>
          <w:szCs w:val="20"/>
        </w:rPr>
        <w:t xml:space="preserve">TITLE V—PAY FOR RESULTS</w:t>
      </w:r>
    </w:p>
    <w:p>
      <w:pPr>
        <w:spacing w:after="20" w:line="240"/>
        <w:ind w:left="863"/>
      </w:pPr>
      <w:r>
        <w:rPr>
          <w:rFonts w:ascii="Times New Roman" w:cs="Times New Roman" w:eastAsia="Times New Roman" w:hAnsi="Times New Roman"/>
          <w:sz w:val="20"/>
          <w:szCs w:val="20"/>
        </w:rPr>
        <w:t xml:space="preserve">Sec. 501. Expansion of social impact partnerships for housing stability outcomes.</w:t>
      </w:r>
    </w:p>
    <w:p>
      <w:pPr>
        <w:spacing w:after="20" w:line="240"/>
        <w:ind w:left="863"/>
      </w:pPr>
      <w:r>
        <w:rPr>
          <w:rFonts w:ascii="Times New Roman" w:cs="Times New Roman" w:eastAsia="Times New Roman" w:hAnsi="Times New Roman"/>
          <w:sz w:val="20"/>
          <w:szCs w:val="20"/>
        </w:rPr>
        <w:t xml:space="preserve">Sec. 502. Standard outcome measures.</w:t>
      </w:r>
    </w:p>
    <w:p>
      <w:pPr>
        <w:spacing w:after="20" w:line="240"/>
        <w:ind w:left="863"/>
      </w:pPr>
      <w:r>
        <w:rPr>
          <w:rFonts w:ascii="Times New Roman" w:cs="Times New Roman" w:eastAsia="Times New Roman" w:hAnsi="Times New Roman"/>
          <w:sz w:val="20"/>
          <w:szCs w:val="20"/>
        </w:rPr>
        <w:t xml:space="preserve">Sec. 503. Reinvestment of verified savings.</w:t>
      </w:r>
    </w:p>
    <w:p>
      <w:pPr>
        <w:spacing w:after="20" w:line="240"/>
        <w:ind w:left="863"/>
      </w:pPr>
      <w:r>
        <w:rPr>
          <w:rFonts w:ascii="Times New Roman" w:cs="Times New Roman" w:eastAsia="Times New Roman" w:hAnsi="Times New Roman"/>
          <w:sz w:val="20"/>
          <w:szCs w:val="20"/>
        </w:rPr>
        <w:t xml:space="preserve"/>
      </w:r>
    </w:p>
    <w:p>
      <w:pPr>
        <w:spacing w:after="20" w:line="240"/>
        <w:ind w:left="863"/>
      </w:pPr>
      <w:r>
        <w:rPr>
          <w:rFonts w:ascii="Times New Roman" w:cs="Times New Roman" w:eastAsia="Times New Roman" w:hAnsi="Times New Roman"/>
          <w:sz w:val="20"/>
          <w:szCs w:val="20"/>
        </w:rPr>
        <w:t xml:space="preserve">TITLE VI—DATA, TRANSPARENCY, AND ACCOUNTABILITY</w:t>
      </w:r>
    </w:p>
    <w:p>
      <w:pPr>
        <w:spacing w:after="20" w:line="240"/>
        <w:ind w:left="863"/>
      </w:pPr>
      <w:r>
        <w:rPr>
          <w:rFonts w:ascii="Times New Roman" w:cs="Times New Roman" w:eastAsia="Times New Roman" w:hAnsi="Times New Roman"/>
          <w:sz w:val="20"/>
          <w:szCs w:val="20"/>
        </w:rPr>
        <w:t xml:space="preserve">Sec. 601. Duties of the United States Interagency Council on Homelessness.</w:t>
      </w:r>
    </w:p>
    <w:p>
      <w:pPr>
        <w:spacing w:after="20" w:line="240"/>
        <w:ind w:left="863"/>
      </w:pPr>
      <w:r>
        <w:rPr>
          <w:rFonts w:ascii="Times New Roman" w:cs="Times New Roman" w:eastAsia="Times New Roman" w:hAnsi="Times New Roman"/>
          <w:sz w:val="20"/>
          <w:szCs w:val="20"/>
        </w:rPr>
        <w:t xml:space="preserve">Sec. 602. Housing stability data modernization.</w:t>
      </w:r>
    </w:p>
    <w:p>
      <w:pPr>
        <w:spacing w:after="20" w:line="240"/>
        <w:ind w:left="863"/>
      </w:pPr>
      <w:r>
        <w:rPr>
          <w:rFonts w:ascii="Times New Roman" w:cs="Times New Roman" w:eastAsia="Times New Roman" w:hAnsi="Times New Roman"/>
          <w:sz w:val="20"/>
          <w:szCs w:val="20"/>
        </w:rPr>
        <w:t xml:space="preserve">Sec. 603. Reports; independent evaluation.</w:t>
      </w:r>
    </w:p>
    <w:p>
      <w:pPr>
        <w:spacing w:after="20" w:line="240"/>
        <w:ind w:left="863"/>
      </w:pPr>
      <w:r>
        <w:rPr>
          <w:rFonts w:ascii="Times New Roman" w:cs="Times New Roman" w:eastAsia="Times New Roman" w:hAnsi="Times New Roman"/>
          <w:sz w:val="20"/>
          <w:szCs w:val="20"/>
        </w:rPr>
        <w:t xml:space="preserve">Sec. 604. Privacy and civil liberties.</w:t>
      </w:r>
    </w:p>
    <w:p>
      <w:pPr>
        <w:spacing w:after="20" w:line="240"/>
        <w:ind w:left="863"/>
      </w:pPr>
      <w:r>
        <w:rPr>
          <w:rFonts w:ascii="Times New Roman" w:cs="Times New Roman" w:eastAsia="Times New Roman" w:hAnsi="Times New Roman"/>
          <w:sz w:val="20"/>
          <w:szCs w:val="20"/>
        </w:rPr>
        <w:t xml:space="preserve"/>
      </w:r>
    </w:p>
    <w:p>
      <w:pPr>
        <w:spacing w:after="20" w:line="240"/>
        <w:ind w:left="863"/>
      </w:pPr>
      <w:r>
        <w:rPr>
          <w:rFonts w:ascii="Times New Roman" w:cs="Times New Roman" w:eastAsia="Times New Roman" w:hAnsi="Times New Roman"/>
          <w:sz w:val="20"/>
          <w:szCs w:val="20"/>
        </w:rPr>
        <w:t xml:space="preserve">TITLE VII—GENERAL PROVISIONS</w:t>
      </w:r>
    </w:p>
    <w:p>
      <w:pPr>
        <w:spacing w:after="20" w:line="240"/>
        <w:ind w:left="863"/>
      </w:pPr>
      <w:r>
        <w:rPr>
          <w:rFonts w:ascii="Times New Roman" w:cs="Times New Roman" w:eastAsia="Times New Roman" w:hAnsi="Times New Roman"/>
          <w:sz w:val="20"/>
          <w:szCs w:val="20"/>
        </w:rPr>
        <w:t xml:space="preserve">Sec. 701. Nondiscrimination; civil rights.</w:t>
      </w:r>
    </w:p>
    <w:p>
      <w:pPr>
        <w:spacing w:after="20" w:line="240"/>
        <w:ind w:left="863"/>
      </w:pPr>
      <w:r>
        <w:rPr>
          <w:rFonts w:ascii="Times New Roman" w:cs="Times New Roman" w:eastAsia="Times New Roman" w:hAnsi="Times New Roman"/>
          <w:sz w:val="20"/>
          <w:szCs w:val="20"/>
        </w:rPr>
        <w:t xml:space="preserve">Sec. 702. Rules of construction; Federalism.</w:t>
      </w:r>
    </w:p>
    <w:p>
      <w:pPr>
        <w:spacing w:after="20" w:line="240"/>
        <w:ind w:left="863"/>
      </w:pPr>
      <w:r>
        <w:rPr>
          <w:rFonts w:ascii="Times New Roman" w:cs="Times New Roman" w:eastAsia="Times New Roman" w:hAnsi="Times New Roman"/>
          <w:sz w:val="20"/>
          <w:szCs w:val="20"/>
        </w:rPr>
        <w:t xml:space="preserve">Sec. 703. Participation of community and faith-based organizations.</w:t>
      </w:r>
    </w:p>
    <w:p>
      <w:pPr>
        <w:spacing w:after="20" w:line="240"/>
        <w:ind w:left="863"/>
      </w:pPr>
      <w:r>
        <w:rPr>
          <w:rFonts w:ascii="Times New Roman" w:cs="Times New Roman" w:eastAsia="Times New Roman" w:hAnsi="Times New Roman"/>
          <w:sz w:val="20"/>
          <w:szCs w:val="20"/>
        </w:rPr>
        <w:t xml:space="preserve">Sec. 704. Authorization of appropriations.</w:t>
      </w:r>
    </w:p>
    <w:p>
      <w:pPr>
        <w:spacing w:after="20" w:line="240"/>
        <w:ind w:left="863"/>
      </w:pPr>
      <w:r>
        <w:rPr>
          <w:rFonts w:ascii="Times New Roman" w:cs="Times New Roman" w:eastAsia="Times New Roman" w:hAnsi="Times New Roman"/>
          <w:sz w:val="20"/>
          <w:szCs w:val="20"/>
        </w:rPr>
        <w:t xml:space="preserve">Sec. 705. Sunset; reauthorization review.</w:t>
      </w:r>
    </w:p>
    <w:p>
      <w:pPr>
        <w:spacing w:after="20" w:line="240"/>
        <w:ind w:left="863"/>
      </w:pPr>
      <w:r>
        <w:rPr>
          <w:rFonts w:ascii="Times New Roman" w:cs="Times New Roman" w:eastAsia="Times New Roman" w:hAnsi="Times New Roman"/>
          <w:sz w:val="20"/>
          <w:szCs w:val="20"/>
        </w:rPr>
        <w:t xml:space="preserve">Sec. 706. Severability.</w:t>
      </w:r>
    </w:p>
    <w:p>
      <w:pPr>
        <w:spacing w:after="20" w:line="240"/>
        <w:ind w:left="863"/>
      </w:pPr>
      <w:r>
        <w:rPr>
          <w:rFonts w:ascii="Times New Roman" w:cs="Times New Roman" w:eastAsia="Times New Roman" w:hAnsi="Times New Roman"/>
          <w:sz w:val="20"/>
          <w:szCs w:val="20"/>
        </w:rPr>
        <w:t xml:space="preserve">Sec. 707. Effective date; implementation.</w:t>
      </w:r>
    </w:p>
    <w:p>
      <w:pPr>
        <w:spacing w:after="120" w:before="280"/>
        <w:jc w:val="left"/>
      </w:pPr>
      <w:r>
        <w:rPr>
          <w:rFonts w:ascii="Times New Roman" w:cs="Times New Roman" w:eastAsia="Times New Roman" w:hAnsi="Times New Roman"/>
          <w:b/>
          <w:bCs/>
          <w:sz w:val="23"/>
          <w:szCs w:val="23"/>
        </w:rPr>
        <w:t xml:space="preserve">SEC. 2. FINDINGS.</w:t>
      </w:r>
    </w:p>
    <w:p>
      <w:pPr>
        <w:spacing w:after="140" w:line="276"/>
        <w:jc w:val="both"/>
      </w:pPr>
      <w:r>
        <w:rPr>
          <w:rFonts w:ascii="Times New Roman" w:cs="Times New Roman" w:eastAsia="Times New Roman" w:hAnsi="Times New Roman"/>
          <w:sz w:val="22"/>
          <w:szCs w:val="22"/>
        </w:rPr>
        <w:t xml:space="preserve">Congress finds the following:</w:t>
      </w:r>
    </w:p>
    <w:p>
      <w:pPr>
        <w:spacing w:after="140" w:line="276"/>
        <w:jc w:val="both"/>
      </w:pPr>
      <w:r>
        <w:rPr>
          <w:rFonts w:ascii="Times New Roman" w:cs="Times New Roman" w:eastAsia="Times New Roman" w:hAnsi="Times New Roman"/>
          <w:sz w:val="22"/>
          <w:szCs w:val="22"/>
        </w:rPr>
        <w:t xml:space="preserve">(1) According to the Annual Homeless Assessment Report of the Department of Housing and Urban Development, 745,652 people experienced homelessness on a single night in January 2025 — approximately 3 percent below the record of 771,480 recorded in January 2024, but roughly 28 percent above the level recorded in January 2020.</w:t>
      </w:r>
    </w:p>
    <w:p>
      <w:pPr>
        <w:spacing w:after="140" w:line="276"/>
        <w:jc w:val="both"/>
      </w:pPr>
      <w:r>
        <w:rPr>
          <w:rFonts w:ascii="Times New Roman" w:cs="Times New Roman" w:eastAsia="Times New Roman" w:hAnsi="Times New Roman"/>
          <w:sz w:val="22"/>
          <w:szCs w:val="22"/>
        </w:rPr>
        <w:t xml:space="preserve">(2) The January 2025 count was the first nationwide decrease since 2016, demonstrating that reductions in homelessness are achievable. Analysts attribute the decrease substantially to targeted assistance programs that were temporary in nature, demonstrating equally that gains against homelessness are reversible when the tools that produce them expire.</w:t>
      </w:r>
    </w:p>
    <w:p>
      <w:pPr>
        <w:spacing w:after="140" w:line="276"/>
        <w:jc w:val="both"/>
      </w:pPr>
      <w:r>
        <w:rPr>
          <w:rFonts w:ascii="Times New Roman" w:cs="Times New Roman" w:eastAsia="Times New Roman" w:hAnsi="Times New Roman"/>
          <w:sz w:val="22"/>
          <w:szCs w:val="22"/>
        </w:rPr>
        <w:t xml:space="preserve">(3) Homelessness is lethal. National research tracking approximately 140,000 people experiencing homelessness found an age-adjusted mortality rate approximately 3.5 times that of housed individuals, such that a 40-year-old experiencing homelessness faces a mortality risk comparable to a housed person nearly 20 years older.</w:t>
      </w:r>
    </w:p>
    <w:p>
      <w:pPr>
        <w:spacing w:after="140" w:line="276"/>
        <w:jc w:val="both"/>
      </w:pPr>
      <w:r>
        <w:rPr>
          <w:rFonts w:ascii="Times New Roman" w:cs="Times New Roman" w:eastAsia="Times New Roman" w:hAnsi="Times New Roman"/>
          <w:sz w:val="22"/>
          <w:szCs w:val="22"/>
        </w:rPr>
        <w:t xml:space="preserve">(4) The Government Accountability Office has found that each $100 increase in median rent in a community is associated with an approximately 9 percent increase in the rate of homelessness in that community, confirming that housing costs are among the strongest measurable drivers of homelessness.</w:t>
      </w:r>
    </w:p>
    <w:p>
      <w:pPr>
        <w:spacing w:after="140" w:line="276"/>
        <w:jc w:val="both"/>
      </w:pPr>
      <w:r>
        <w:rPr>
          <w:rFonts w:ascii="Times New Roman" w:cs="Times New Roman" w:eastAsia="Times New Roman" w:hAnsi="Times New Roman"/>
          <w:sz w:val="22"/>
          <w:szCs w:val="22"/>
        </w:rPr>
        <w:t xml:space="preserve">(5) As of the most recent national data, the United States has a shortage of approximately 7,100,000 rental homes affordable and available to extremely low-income renters, with only 35 such homes available for every 100 extremely low-income renter households, and approximately 75 percent of such households spending more than half of their income on housing.</w:t>
      </w:r>
    </w:p>
    <w:p>
      <w:pPr>
        <w:spacing w:after="140" w:line="276"/>
        <w:jc w:val="both"/>
      </w:pPr>
      <w:r>
        <w:rPr>
          <w:rFonts w:ascii="Times New Roman" w:cs="Times New Roman" w:eastAsia="Times New Roman" w:hAnsi="Times New Roman"/>
          <w:sz w:val="22"/>
          <w:szCs w:val="22"/>
        </w:rPr>
        <w:t xml:space="preserve">(6) A full-time worker earning the Federal minimum wage of $7.25 per hour cannot afford a modest rental home at fair market rent in any State; the national housing wage for a modest two-bedroom rental home was $33.63 per hour in 2025, more than four times the Federal minimum wage.</w:t>
      </w:r>
    </w:p>
    <w:p>
      <w:pPr>
        <w:spacing w:after="140" w:line="276"/>
        <w:jc w:val="both"/>
      </w:pPr>
      <w:r>
        <w:rPr>
          <w:rFonts w:ascii="Times New Roman" w:cs="Times New Roman" w:eastAsia="Times New Roman" w:hAnsi="Times New Roman"/>
          <w:sz w:val="22"/>
          <w:szCs w:val="22"/>
        </w:rPr>
        <w:t xml:space="preserve">(7) Approximately 3,600,000 eviction cases are filed in a typical year in the United States, and most households that become homeless do so following an identifiable and interceptable crisis, such as an eviction, a job loss, a medical emergency, domestic violence, or discharge from a public institution.</w:t>
      </w:r>
    </w:p>
    <w:p>
      <w:pPr>
        <w:spacing w:after="140" w:line="276"/>
        <w:jc w:val="both"/>
      </w:pPr>
      <w:r>
        <w:rPr>
          <w:rFonts w:ascii="Times New Roman" w:cs="Times New Roman" w:eastAsia="Times New Roman" w:hAnsi="Times New Roman"/>
          <w:sz w:val="22"/>
          <w:szCs w:val="22"/>
        </w:rPr>
        <w:t xml:space="preserve">(8) Homelessness prevention works and is measurable. A rigorous evaluation published in Science, exploiting effectively random variation in the availability of assistance funds, found that households at imminent risk that received one-time emergency financial assistance were 76 percent less likely to enter a homeless shelter within 6 months. In New York City, 84 percent of tenants provided counsel in eviction proceedings remained in their homes, and eviction filings declined by roughly half between 2013 and 2024. In the multi-site Family Options Study of the Department of Housing and Urban Development, families offered rental assistance were less than half as likely as families receiving usual care to experience shelter stays or doubling up, and experienced intimate partner violence at a rate lower by one-third.</w:t>
      </w:r>
    </w:p>
    <w:p>
      <w:pPr>
        <w:spacing w:after="140" w:line="276"/>
        <w:jc w:val="both"/>
      </w:pPr>
      <w:r>
        <w:rPr>
          <w:rFonts w:ascii="Times New Roman" w:cs="Times New Roman" w:eastAsia="Times New Roman" w:hAnsi="Times New Roman"/>
          <w:sz w:val="22"/>
          <w:szCs w:val="22"/>
        </w:rPr>
        <w:t xml:space="preserve">(9) Public systems routinely discharge people into homelessness. People who have been incarcerated are almost 10 times more likely to experience homelessness than the general public. One in four youth who were in foster care at age 17 report having experienced homelessness within two years when surveyed at age 21, and close to one-third of youth experiencing homelessness report a history of foster care. Discharge from public custody or care to the street is a system failure that occurs at a known time and place, and is therefore preventable.</w:t>
      </w:r>
    </w:p>
    <w:p>
      <w:pPr>
        <w:spacing w:after="140" w:line="276"/>
        <w:jc w:val="both"/>
      </w:pPr>
      <w:r>
        <w:rPr>
          <w:rFonts w:ascii="Times New Roman" w:cs="Times New Roman" w:eastAsia="Times New Roman" w:hAnsi="Times New Roman"/>
          <w:sz w:val="22"/>
          <w:szCs w:val="22"/>
        </w:rPr>
        <w:t xml:space="preserve">(10) Domestic violence is a leading cause of homelessness for women and families, and more than 80 percent of mothers with children experiencing homelessness report having experienced domestic violence.</w:t>
      </w:r>
    </w:p>
    <w:p>
      <w:pPr>
        <w:spacing w:after="140" w:line="276"/>
        <w:jc w:val="both"/>
      </w:pPr>
      <w:r>
        <w:rPr>
          <w:rFonts w:ascii="Times New Roman" w:cs="Times New Roman" w:eastAsia="Times New Roman" w:hAnsi="Times New Roman"/>
          <w:sz w:val="22"/>
          <w:szCs w:val="22"/>
        </w:rPr>
        <w:t xml:space="preserve">(11) Chronic homelessness is the most expensive form of homelessness for the public. A person experiencing chronic homelessness generates public costs averaging approximately $35,000 per year in emergency rooms, jails, shelters, and crisis response. Placement in stabilization housing reduces such public costs by approximately one-half on average, and, in the Housing to Health initiative in Denver, Colorado, conducted under the Social Impact Partnerships to Pay for Results Act, produced independently verified public savings of $15,733 per person per year.</w:t>
      </w:r>
    </w:p>
    <w:p>
      <w:pPr>
        <w:spacing w:after="140" w:line="276"/>
        <w:jc w:val="both"/>
      </w:pPr>
      <w:r>
        <w:rPr>
          <w:rFonts w:ascii="Times New Roman" w:cs="Times New Roman" w:eastAsia="Times New Roman" w:hAnsi="Times New Roman"/>
          <w:sz w:val="22"/>
          <w:szCs w:val="22"/>
        </w:rPr>
        <w:t xml:space="preserve">(12) Veteran homelessness has been cut by more than half since 2010, to 32,495 in January 2025, the lowest level on record, through sustained, targeted, bipartisan tools; more than a dozen communities have achieved a functional end to veteran homelessness. What has been done for veterans can be done for others.</w:t>
      </w:r>
    </w:p>
    <w:p>
      <w:pPr>
        <w:spacing w:after="140" w:line="276"/>
        <w:jc w:val="both"/>
      </w:pPr>
      <w:r>
        <w:rPr>
          <w:rFonts w:ascii="Times New Roman" w:cs="Times New Roman" w:eastAsia="Times New Roman" w:hAnsi="Times New Roman"/>
          <w:sz w:val="22"/>
          <w:szCs w:val="22"/>
        </w:rPr>
        <w:t xml:space="preserve">(13) The Social Impact Partnerships to Pay for Results Act established a Federal financing framework under which the Federal Government pays only for outcomes that are achieved and independently verified, with payments capped at the value of the savings those outcomes produce; the framework has been successfully applied to homelessness and, absent reauthorization, expires in 2028.</w:t>
      </w:r>
    </w:p>
    <w:p>
      <w:pPr>
        <w:spacing w:after="140" w:line="276"/>
        <w:jc w:val="both"/>
      </w:pPr>
      <w:r>
        <w:rPr>
          <w:rFonts w:ascii="Times New Roman" w:cs="Times New Roman" w:eastAsia="Times New Roman" w:hAnsi="Times New Roman"/>
          <w:sz w:val="22"/>
          <w:szCs w:val="22"/>
        </w:rPr>
        <w:t xml:space="preserve">(14) In 2026, Congress enacted, by margins of 85 to 5 in the Senate and 358 to 32 in the House of Representatives, the most significant housing supply legislation in a generation, addressing regulatory barriers, construction innovation, and homeownership; that Act, by design, authorized no additional funds and contained only limited provisions respecting homelessness. The prevention and stability of households — the demand side of the same national consensus — remains the unfinished half of the work.</w:t>
      </w:r>
    </w:p>
    <w:p>
      <w:pPr>
        <w:spacing w:after="140" w:line="276"/>
        <w:jc w:val="both"/>
      </w:pPr>
      <w:r>
        <w:rPr>
          <w:rFonts w:ascii="Times New Roman" w:cs="Times New Roman" w:eastAsia="Times New Roman" w:hAnsi="Times New Roman"/>
          <w:sz w:val="22"/>
          <w:szCs w:val="22"/>
        </w:rPr>
        <w:t xml:space="preserve">(15) Following the decision of the Supreme Court in City of Grants Pass v. Johnson (2024), States and localities retain broad constitutional authority to regulate public camping, and many have exercised it. Enforcement, however constituted, does not by itself house anyone or reduce the number of people without homes; the most effective way to reduce both street homelessness and the burdens of enforcement is to reduce the number of people who lose housing in the first place and to make swift rehousing possible for those who do.</w:t>
      </w:r>
    </w:p>
    <w:p>
      <w:pPr>
        <w:spacing w:after="140" w:line="276"/>
        <w:jc w:val="both"/>
      </w:pPr>
      <w:r>
        <w:rPr>
          <w:rFonts w:ascii="Times New Roman" w:cs="Times New Roman" w:eastAsia="Times New Roman" w:hAnsi="Times New Roman"/>
          <w:sz w:val="22"/>
          <w:szCs w:val="22"/>
        </w:rPr>
        <w:t xml:space="preserve">(16) The American people, across party lines, want this solved: national and battleground polling in 2024 and 2026 found homelessness among the top concerns of voters of both parties and found supermajority support in both parties for targeted assistance to prevent homelessness among vulnerable renters. The shared national goal is that homelessness in America be rare, brief, and nonrecurring.</w:t>
      </w:r>
    </w:p>
    <w:p>
      <w:pPr>
        <w:spacing w:after="120" w:before="280"/>
        <w:jc w:val="left"/>
      </w:pPr>
      <w:r>
        <w:rPr>
          <w:rFonts w:ascii="Times New Roman" w:cs="Times New Roman" w:eastAsia="Times New Roman" w:hAnsi="Times New Roman"/>
          <w:b/>
          <w:bCs/>
          <w:sz w:val="23"/>
          <w:szCs w:val="23"/>
        </w:rPr>
        <w:t xml:space="preserve">SEC. 3. PURPOSES; NATIONAL GOAL.</w:t>
      </w:r>
    </w:p>
    <w:p>
      <w:pPr>
        <w:spacing w:after="140" w:line="276"/>
        <w:jc w:val="both"/>
      </w:pPr>
      <w:r>
        <w:rPr>
          <w:rFonts w:ascii="Times New Roman" w:cs="Times New Roman" w:eastAsia="Times New Roman" w:hAnsi="Times New Roman"/>
          <w:sz w:val="22"/>
          <w:szCs w:val="22"/>
        </w:rPr>
        <w:t xml:space="preserve">(a) PURPOSES.—The purposes of this Act are—</w:t>
      </w:r>
    </w:p>
    <w:p>
      <w:pPr>
        <w:spacing w:after="140" w:line="276"/>
        <w:jc w:val="both"/>
      </w:pPr>
      <w:r>
        <w:rPr>
          <w:rFonts w:ascii="Times New Roman" w:cs="Times New Roman" w:eastAsia="Times New Roman" w:hAnsi="Times New Roman"/>
          <w:sz w:val="22"/>
          <w:szCs w:val="22"/>
        </w:rPr>
        <w:t xml:space="preserve">(1) to prevent homelessness at its sources by intercepting the identifiable crises through which housing is most often lost;</w:t>
      </w:r>
    </w:p>
    <w:p>
      <w:pPr>
        <w:spacing w:after="140" w:line="276"/>
        <w:jc w:val="both"/>
      </w:pPr>
      <w:r>
        <w:rPr>
          <w:rFonts w:ascii="Times New Roman" w:cs="Times New Roman" w:eastAsia="Times New Roman" w:hAnsi="Times New Roman"/>
          <w:sz w:val="22"/>
          <w:szCs w:val="22"/>
        </w:rPr>
        <w:t xml:space="preserve">(2) to ensure that no person is discharged from public custody or care into homelessness;</w:t>
      </w:r>
    </w:p>
    <w:p>
      <w:pPr>
        <w:spacing w:after="140" w:line="276"/>
        <w:jc w:val="both"/>
      </w:pPr>
      <w:r>
        <w:rPr>
          <w:rFonts w:ascii="Times New Roman" w:cs="Times New Roman" w:eastAsia="Times New Roman" w:hAnsi="Times New Roman"/>
          <w:sz w:val="22"/>
          <w:szCs w:val="22"/>
        </w:rPr>
        <w:t xml:space="preserve">(3) to stabilize households, housing providers, and communities through assistance that is fast, flexible, accountable, and temporary wherever temporary assistance suffices;</w:t>
      </w:r>
    </w:p>
    <w:p>
      <w:pPr>
        <w:spacing w:after="140" w:line="276"/>
        <w:jc w:val="both"/>
      </w:pPr>
      <w:r>
        <w:rPr>
          <w:rFonts w:ascii="Times New Roman" w:cs="Times New Roman" w:eastAsia="Times New Roman" w:hAnsi="Times New Roman"/>
          <w:sz w:val="22"/>
          <w:szCs w:val="22"/>
        </w:rPr>
        <w:t xml:space="preserve">(4) to expand stabilization housing and recovery supports for the small population that generates the largest public costs, measured by results;</w:t>
      </w:r>
    </w:p>
    <w:p>
      <w:pPr>
        <w:spacing w:after="140" w:line="276"/>
        <w:jc w:val="both"/>
      </w:pPr>
      <w:r>
        <w:rPr>
          <w:rFonts w:ascii="Times New Roman" w:cs="Times New Roman" w:eastAsia="Times New Roman" w:hAnsi="Times New Roman"/>
          <w:sz w:val="22"/>
          <w:szCs w:val="22"/>
        </w:rPr>
        <w:t xml:space="preserve">(5) to pay for verified outcomes rather than promises, and to recycle verified public savings into further prevention;</w:t>
      </w:r>
    </w:p>
    <w:p>
      <w:pPr>
        <w:spacing w:after="140" w:line="276"/>
        <w:jc w:val="both"/>
      </w:pPr>
      <w:r>
        <w:rPr>
          <w:rFonts w:ascii="Times New Roman" w:cs="Times New Roman" w:eastAsia="Times New Roman" w:hAnsi="Times New Roman"/>
          <w:sz w:val="22"/>
          <w:szCs w:val="22"/>
        </w:rPr>
        <w:t xml:space="preserve">(6) to modernize the data by which the Nation measures homelessness, so that progress is provable and failure is visible; and</w:t>
      </w:r>
    </w:p>
    <w:p>
      <w:pPr>
        <w:spacing w:after="140" w:line="276"/>
        <w:jc w:val="both"/>
      </w:pPr>
      <w:r>
        <w:rPr>
          <w:rFonts w:ascii="Times New Roman" w:cs="Times New Roman" w:eastAsia="Times New Roman" w:hAnsi="Times New Roman"/>
          <w:sz w:val="22"/>
          <w:szCs w:val="22"/>
        </w:rPr>
        <w:t xml:space="preserve">(7) to accomplish the foregoing without creating any new Federal agency, without mandating any service model, and without displacing the authority of States, localities, and Tribes.</w:t>
      </w:r>
    </w:p>
    <w:p>
      <w:pPr>
        <w:spacing w:after="140" w:line="276"/>
        <w:jc w:val="both"/>
      </w:pPr>
      <w:r>
        <w:rPr>
          <w:rFonts w:ascii="Times New Roman" w:cs="Times New Roman" w:eastAsia="Times New Roman" w:hAnsi="Times New Roman"/>
          <w:sz w:val="22"/>
          <w:szCs w:val="22"/>
        </w:rPr>
        <w:t xml:space="preserve">(b) NATIONAL GOAL.—It is the goal of the United States—</w:t>
      </w:r>
    </w:p>
    <w:p>
      <w:pPr>
        <w:spacing w:after="140" w:line="276"/>
        <w:jc w:val="both"/>
      </w:pPr>
      <w:r>
        <w:rPr>
          <w:rFonts w:ascii="Times New Roman" w:cs="Times New Roman" w:eastAsia="Times New Roman" w:hAnsi="Times New Roman"/>
          <w:sz w:val="22"/>
          <w:szCs w:val="22"/>
        </w:rPr>
        <w:t xml:space="preserve">(1) to reduce the number of people experiencing homelessness on a single night by not less than 50 percent by December 31, 2031, relative to the January 2025 baseline;</w:t>
      </w:r>
    </w:p>
    <w:p>
      <w:pPr>
        <w:spacing w:after="140" w:line="276"/>
        <w:jc w:val="both"/>
      </w:pPr>
      <w:r>
        <w:rPr>
          <w:rFonts w:ascii="Times New Roman" w:cs="Times New Roman" w:eastAsia="Times New Roman" w:hAnsi="Times New Roman"/>
          <w:sz w:val="22"/>
          <w:szCs w:val="22"/>
        </w:rPr>
        <w:t xml:space="preserve">(2) to achieve a functional end to chronic homelessness and veteran homelessness in every participating community; and</w:t>
      </w:r>
    </w:p>
    <w:p>
      <w:pPr>
        <w:spacing w:after="140" w:line="276"/>
        <w:jc w:val="both"/>
      </w:pPr>
      <w:r>
        <w:rPr>
          <w:rFonts w:ascii="Times New Roman" w:cs="Times New Roman" w:eastAsia="Times New Roman" w:hAnsi="Times New Roman"/>
          <w:sz w:val="22"/>
          <w:szCs w:val="22"/>
        </w:rPr>
        <w:t xml:space="preserve">(3) to make homelessness in the United States rare overall, brief when it occurs, and nonrecurring thereafter.</w:t>
      </w:r>
    </w:p>
    <w:p>
      <w:pPr>
        <w:spacing w:after="140" w:line="276"/>
        <w:jc w:val="both"/>
      </w:pPr>
      <w:r>
        <w:rPr>
          <w:rFonts w:ascii="Times New Roman" w:cs="Times New Roman" w:eastAsia="Times New Roman" w:hAnsi="Times New Roman"/>
          <w:sz w:val="22"/>
          <w:szCs w:val="22"/>
        </w:rPr>
        <w:t xml:space="preserve">(c) NO INDIVIDUAL ENTITLEMENT.—Nothing in this Act establishes an individual entitlement to assistance or a private right of action.</w:t>
      </w:r>
    </w:p>
    <w:p>
      <w:pPr>
        <w:spacing w:after="120" w:before="280"/>
        <w:jc w:val="left"/>
      </w:pPr>
      <w:r>
        <w:rPr>
          <w:rFonts w:ascii="Times New Roman" w:cs="Times New Roman" w:eastAsia="Times New Roman" w:hAnsi="Times New Roman"/>
          <w:b/>
          <w:bCs/>
          <w:sz w:val="23"/>
          <w:szCs w:val="23"/>
        </w:rPr>
        <w:t xml:space="preserve">SEC. 4. DEFINITIONS.</w:t>
      </w:r>
    </w:p>
    <w:p>
      <w:pPr>
        <w:spacing w:after="140" w:line="276"/>
        <w:jc w:val="both"/>
      </w:pPr>
      <w:r>
        <w:rPr>
          <w:rFonts w:ascii="Times New Roman" w:cs="Times New Roman" w:eastAsia="Times New Roman" w:hAnsi="Times New Roman"/>
          <w:sz w:val="22"/>
          <w:szCs w:val="22"/>
        </w:rPr>
        <w:t xml:space="preserve">In this Act:</w:t>
      </w:r>
    </w:p>
    <w:p>
      <w:pPr>
        <w:spacing w:after="140" w:line="276"/>
        <w:jc w:val="both"/>
      </w:pPr>
      <w:r>
        <w:rPr>
          <w:rFonts w:ascii="Times New Roman" w:cs="Times New Roman" w:eastAsia="Times New Roman" w:hAnsi="Times New Roman"/>
          <w:sz w:val="22"/>
          <w:szCs w:val="22"/>
        </w:rPr>
        <w:t xml:space="preserve">(1) AT RISK OF HOMELESSNESS.—The term "at risk of homelessness" has the meaning given that term in section 401 of the McKinney-Vento Homeless Assistance Act (42 U.S.C. 11360), except that the Secretary may, by guidance, treat as at risk of homelessness a household that has received a notice of eviction or termination of tenancy, is experiencing or fleeing domestic violence, dating violence, sexual assault, stalking, or human trafficking, is within 90 days of discharge from a covered institution without an identified housing arrangement, or is otherwise likely to lose safe and stable housing within 90 days.</w:t>
      </w:r>
    </w:p>
    <w:p>
      <w:pPr>
        <w:spacing w:after="140" w:line="276"/>
        <w:jc w:val="both"/>
      </w:pPr>
      <w:r>
        <w:rPr>
          <w:rFonts w:ascii="Times New Roman" w:cs="Times New Roman" w:eastAsia="Times New Roman" w:hAnsi="Times New Roman"/>
          <w:sz w:val="22"/>
          <w:szCs w:val="22"/>
        </w:rPr>
        <w:t xml:space="preserve">(2) COVERED INSTITUTION.—The term "covered institution" means a correctional facility, jail, hospital, psychiatric facility, residential treatment program, foster care placement, or other institutional setting that is operated, funded, or licensed in whole or in part by a Federal, State, Tribal, or local government.</w:t>
      </w:r>
    </w:p>
    <w:p>
      <w:pPr>
        <w:spacing w:after="140" w:line="276"/>
        <w:jc w:val="both"/>
      </w:pPr>
      <w:r>
        <w:rPr>
          <w:rFonts w:ascii="Times New Roman" w:cs="Times New Roman" w:eastAsia="Times New Roman" w:hAnsi="Times New Roman"/>
          <w:sz w:val="22"/>
          <w:szCs w:val="22"/>
        </w:rPr>
        <w:t xml:space="preserve">(3) ELIGIBLE ENTITY.—The term "eligible entity" means a State, a unit of general local government, an Indian Tribe or tribally designated housing entity, a public housing agency, a Continuum of Care established pursuant to part B of title IV of the McKinney-Vento Homeless Assistance Act, or a nonprofit organization (including a faith-based or community organization) that meets standards of financial and administrative capacity established by the Secretary.</w:t>
      </w:r>
    </w:p>
    <w:p>
      <w:pPr>
        <w:spacing w:after="140" w:line="276"/>
        <w:jc w:val="both"/>
      </w:pPr>
      <w:r>
        <w:rPr>
          <w:rFonts w:ascii="Times New Roman" w:cs="Times New Roman" w:eastAsia="Times New Roman" w:hAnsi="Times New Roman"/>
          <w:sz w:val="22"/>
          <w:szCs w:val="22"/>
        </w:rPr>
        <w:t xml:space="preserve">(4) FUNCTIONAL END; FUNCTIONAL ZERO.—The terms "functional end" and "functional zero" mean, with respect to a population in a community, a certified condition in which the number of people in that population experiencing homelessness at any time does not exceed the community's demonstrated monthly capacity to place people in that population into permanent housing.</w:t>
      </w:r>
    </w:p>
    <w:p>
      <w:pPr>
        <w:spacing w:after="140" w:line="276"/>
        <w:jc w:val="both"/>
      </w:pPr>
      <w:r>
        <w:rPr>
          <w:rFonts w:ascii="Times New Roman" w:cs="Times New Roman" w:eastAsia="Times New Roman" w:hAnsi="Times New Roman"/>
          <w:sz w:val="22"/>
          <w:szCs w:val="22"/>
        </w:rPr>
        <w:t xml:space="preserve">(5) HOMELESS.—The term "homeless" has the meaning given that term in section 103 of the McKinney-Vento Homeless Assistance Act (42 U.S.C. 11302).</w:t>
      </w:r>
    </w:p>
    <w:p>
      <w:pPr>
        <w:spacing w:after="140" w:line="276"/>
        <w:jc w:val="both"/>
      </w:pPr>
      <w:r>
        <w:rPr>
          <w:rFonts w:ascii="Times New Roman" w:cs="Times New Roman" w:eastAsia="Times New Roman" w:hAnsi="Times New Roman"/>
          <w:sz w:val="22"/>
          <w:szCs w:val="22"/>
        </w:rPr>
        <w:t xml:space="preserve">(6) HOUSING STABILITY SERVICES.—The term "housing stability services" means services and assistance intended to help a household obtain, retain, or return to permanent housing, including housing navigation and problem-solving; landlord-tenant mediation; legal information and legal assistance; case management; assistance obtaining identification documents and enrolling in benefits for which the household is eligible; employment services; credit counseling; and coordination with health, behavioral health, and recovery supports.</w:t>
      </w:r>
    </w:p>
    <w:p>
      <w:pPr>
        <w:spacing w:after="140" w:line="276"/>
        <w:jc w:val="both"/>
      </w:pPr>
      <w:r>
        <w:rPr>
          <w:rFonts w:ascii="Times New Roman" w:cs="Times New Roman" w:eastAsia="Times New Roman" w:hAnsi="Times New Roman"/>
          <w:sz w:val="22"/>
          <w:szCs w:val="22"/>
        </w:rPr>
        <w:t xml:space="preserve">(7) RECOVERY RESIDENCE.—The term "recovery residence" means a shared living environment that is free from alcohol and illicit drug use and centered on peer support and connection to services that promote sustained recovery from substance use disorders, consistent with the best practices identified by the Secretary of Health and Human Services in consultation with national certifying organizations.</w:t>
      </w:r>
    </w:p>
    <w:p>
      <w:pPr>
        <w:spacing w:after="140" w:line="276"/>
        <w:jc w:val="both"/>
      </w:pPr>
      <w:r>
        <w:rPr>
          <w:rFonts w:ascii="Times New Roman" w:cs="Times New Roman" w:eastAsia="Times New Roman" w:hAnsi="Times New Roman"/>
          <w:sz w:val="22"/>
          <w:szCs w:val="22"/>
        </w:rPr>
        <w:t xml:space="preserve">(8) SECRETARY.—The term "Secretary" means the Secretary of Housing and Urban Development, unless otherwise specified.</w:t>
      </w:r>
    </w:p>
    <w:p>
      <w:pPr>
        <w:spacing w:after="140" w:line="276"/>
        <w:jc w:val="both"/>
      </w:pPr>
      <w:r>
        <w:rPr>
          <w:rFonts w:ascii="Times New Roman" w:cs="Times New Roman" w:eastAsia="Times New Roman" w:hAnsi="Times New Roman"/>
          <w:sz w:val="22"/>
          <w:szCs w:val="22"/>
        </w:rPr>
        <w:t xml:space="preserve">(9) STABILIZATION HOUSING.—The term "stabilization housing" means housing — without regard to the service model employed — that is affordable to the household occupying it and is paired with access to voluntary or program-integral services sufficient to enable a person experiencing chronic homelessness, or a person who is a high utilizer of public crisis systems, to attain durable housing stability, improved health, and the maximum degree of independence achievable.</w:t>
      </w:r>
    </w:p>
    <w:p>
      <w:pPr>
        <w:spacing w:after="140" w:line="276"/>
        <w:jc w:val="both"/>
      </w:pPr>
      <w:r>
        <w:rPr>
          <w:rFonts w:ascii="Times New Roman" w:cs="Times New Roman" w:eastAsia="Times New Roman" w:hAnsi="Times New Roman"/>
          <w:sz w:val="22"/>
          <w:szCs w:val="22"/>
        </w:rPr>
        <w:t xml:space="preserve">(10) STATE.—The term "State" means each of the several States, the District of Columbia, and each territory of the United States.</w:t>
      </w:r>
    </w:p>
    <w:p>
      <w:pPr>
        <w:spacing w:after="140" w:line="276"/>
        <w:jc w:val="both"/>
      </w:pPr>
      <w:r>
        <w:rPr>
          <w:rFonts w:ascii="Times New Roman" w:cs="Times New Roman" w:eastAsia="Times New Roman" w:hAnsi="Times New Roman"/>
          <w:sz w:val="22"/>
          <w:szCs w:val="22"/>
        </w:rPr>
        <w:t xml:space="preserve">(11) UNITED STATES INTERAGENCY COUNCIL ON HOMELESSNESS; COUNCIL.—The term "Council" means the United States Interagency Council on Homelessness established under title II of the McKinney-Vento Homeless Assistance Act (42 U.S.C. 11311 et seq.).</w:t>
      </w:r>
    </w:p>
    <w:p>
      <w:pPr>
        <w:spacing w:after="160" w:before="360"/>
        <w:jc w:val="center"/>
      </w:pPr>
      <w:r>
        <w:rPr>
          <w:rFonts w:ascii="Times New Roman" w:cs="Times New Roman" w:eastAsia="Times New Roman" w:hAnsi="Times New Roman"/>
          <w:b/>
          <w:bCs/>
          <w:sz w:val="26"/>
          <w:szCs w:val="26"/>
        </w:rPr>
        <w:t xml:space="preserve">TITLE I—HOMELESSNESS PREVENTION AND HOUSING STABILITY</w:t>
      </w:r>
    </w:p>
    <w:p>
      <w:pPr>
        <w:spacing w:after="120" w:before="280"/>
        <w:jc w:val="left"/>
      </w:pPr>
      <w:r>
        <w:rPr>
          <w:rFonts w:ascii="Times New Roman" w:cs="Times New Roman" w:eastAsia="Times New Roman" w:hAnsi="Times New Roman"/>
          <w:b/>
          <w:bCs/>
          <w:sz w:val="23"/>
          <w:szCs w:val="23"/>
        </w:rPr>
        <w:t xml:space="preserve">SEC. 101. HOUSING STABILITY GRANT PROGRAM.</w:t>
      </w:r>
    </w:p>
    <w:p>
      <w:pPr>
        <w:spacing w:after="140" w:line="276"/>
        <w:jc w:val="both"/>
      </w:pPr>
      <w:r>
        <w:rPr>
          <w:rFonts w:ascii="Times New Roman" w:cs="Times New Roman" w:eastAsia="Times New Roman" w:hAnsi="Times New Roman"/>
          <w:sz w:val="22"/>
          <w:szCs w:val="22"/>
        </w:rPr>
        <w:t xml:space="preserve">(a) ESTABLISHMENT.—The Secretary shall carry out a program, to be known as the Housing Stability Grant Program, to provide grants to eligible entities to prevent homelessness among households at risk of homelessness and to return households experiencing homelessness rapidly to housing.</w:t>
      </w:r>
    </w:p>
    <w:p>
      <w:pPr>
        <w:spacing w:after="140" w:line="276"/>
        <w:jc w:val="both"/>
      </w:pPr>
      <w:r>
        <w:rPr>
          <w:rFonts w:ascii="Times New Roman" w:cs="Times New Roman" w:eastAsia="Times New Roman" w:hAnsi="Times New Roman"/>
          <w:sz w:val="22"/>
          <w:szCs w:val="22"/>
        </w:rPr>
        <w:t xml:space="preserve">(b) STRUCTURE.—Of the amounts made available for this title for a fiscal year—</w:t>
      </w:r>
    </w:p>
    <w:p>
      <w:pPr>
        <w:spacing w:after="140" w:line="276"/>
        <w:jc w:val="both"/>
      </w:pPr>
      <w:r>
        <w:rPr>
          <w:rFonts w:ascii="Times New Roman" w:cs="Times New Roman" w:eastAsia="Times New Roman" w:hAnsi="Times New Roman"/>
          <w:sz w:val="22"/>
          <w:szCs w:val="22"/>
        </w:rPr>
        <w:t xml:space="preserve">(1) 80 percent shall be allocated by formula among States and qualifying units of general local government, under an allocation formula established by the Secretary that reflects, for each jurisdiction, the population of renter households with severe cost burden, the population experiencing homelessness, and eviction filing volume, to the extent data are available; and</w:t>
      </w:r>
    </w:p>
    <w:p>
      <w:pPr>
        <w:spacing w:after="140" w:line="276"/>
        <w:jc w:val="both"/>
      </w:pPr>
      <w:r>
        <w:rPr>
          <w:rFonts w:ascii="Times New Roman" w:cs="Times New Roman" w:eastAsia="Times New Roman" w:hAnsi="Times New Roman"/>
          <w:sz w:val="22"/>
          <w:szCs w:val="22"/>
        </w:rPr>
        <w:t xml:space="preserve">(2) 20 percent shall be awarded competitively for innovation, for demonstrated-outcome expansion, and for communities pursuing certified functional zero commitments under section 502.</w:t>
      </w:r>
    </w:p>
    <w:p>
      <w:pPr>
        <w:spacing w:after="140" w:line="276"/>
        <w:jc w:val="both"/>
      </w:pPr>
      <w:r>
        <w:rPr>
          <w:rFonts w:ascii="Times New Roman" w:cs="Times New Roman" w:eastAsia="Times New Roman" w:hAnsi="Times New Roman"/>
          <w:sz w:val="22"/>
          <w:szCs w:val="22"/>
        </w:rPr>
        <w:t xml:space="preserve">(c) USE OF EXISTING INFRASTRUCTURE.—The Secretary shall administer the program, to the maximum extent practicable, through the administrative infrastructure of existing programs under the McKinney-Vento Homeless Assistance Act, and may align application, reporting, and fiscal procedures with the Emergency Solutions Grants program to minimize administrative burden and startup delay.</w:t>
      </w:r>
    </w:p>
    <w:p>
      <w:pPr>
        <w:spacing w:after="140" w:line="276"/>
        <w:jc w:val="both"/>
      </w:pPr>
      <w:r>
        <w:rPr>
          <w:rFonts w:ascii="Times New Roman" w:cs="Times New Roman" w:eastAsia="Times New Roman" w:hAnsi="Times New Roman"/>
          <w:sz w:val="22"/>
          <w:szCs w:val="22"/>
        </w:rPr>
        <w:t xml:space="preserve">(d) MATCHING.—The Secretary shall require a non-Federal match (which may include in-kind contributions and philanthropic funds) of not less than 10 percent for States and units of general local government, and may reduce or waive the match for Indian Tribes, territories, and rural areas upon a showing of fiscal hardship.</w:t>
      </w:r>
    </w:p>
    <w:p>
      <w:pPr>
        <w:spacing w:after="140" w:line="276"/>
        <w:jc w:val="both"/>
      </w:pPr>
      <w:r>
        <w:rPr>
          <w:rFonts w:ascii="Times New Roman" w:cs="Times New Roman" w:eastAsia="Times New Roman" w:hAnsi="Times New Roman"/>
          <w:sz w:val="22"/>
          <w:szCs w:val="22"/>
        </w:rPr>
        <w:t xml:space="preserve">(e) ADMINISTRATIVE CAP.—Not more than 6 percent of a grant under this title may be used for administrative costs.</w:t>
      </w:r>
    </w:p>
    <w:p>
      <w:pPr>
        <w:spacing w:after="120" w:before="280"/>
        <w:jc w:val="left"/>
      </w:pPr>
      <w:r>
        <w:rPr>
          <w:rFonts w:ascii="Times New Roman" w:cs="Times New Roman" w:eastAsia="Times New Roman" w:hAnsi="Times New Roman"/>
          <w:b/>
          <w:bCs/>
          <w:sz w:val="23"/>
          <w:szCs w:val="23"/>
        </w:rPr>
        <w:t xml:space="preserve">SEC. 102. ELIGIBLE USES.</w:t>
      </w:r>
    </w:p>
    <w:p>
      <w:pPr>
        <w:spacing w:after="140" w:line="276"/>
        <w:jc w:val="both"/>
      </w:pPr>
      <w:r>
        <w:rPr>
          <w:rFonts w:ascii="Times New Roman" w:cs="Times New Roman" w:eastAsia="Times New Roman" w:hAnsi="Times New Roman"/>
          <w:sz w:val="22"/>
          <w:szCs w:val="22"/>
        </w:rPr>
        <w:t xml:space="preserve">(a) IN GENERAL.—Grant funds under this title may be used for—</w:t>
      </w:r>
    </w:p>
    <w:p>
      <w:pPr>
        <w:spacing w:after="140" w:line="276"/>
        <w:jc w:val="both"/>
      </w:pPr>
      <w:r>
        <w:rPr>
          <w:rFonts w:ascii="Times New Roman" w:cs="Times New Roman" w:eastAsia="Times New Roman" w:hAnsi="Times New Roman"/>
          <w:sz w:val="22"/>
          <w:szCs w:val="22"/>
        </w:rPr>
        <w:t xml:space="preserve">(1) short- and medium-term rental assistance for a period not to exceed 24 months per household, including rental arrears, prospective rent, security deposits, utility arrears and payments, and reasonable late fees;</w:t>
      </w:r>
    </w:p>
    <w:p>
      <w:pPr>
        <w:spacing w:after="140" w:line="276"/>
        <w:jc w:val="both"/>
      </w:pPr>
      <w:r>
        <w:rPr>
          <w:rFonts w:ascii="Times New Roman" w:cs="Times New Roman" w:eastAsia="Times New Roman" w:hAnsi="Times New Roman"/>
          <w:sz w:val="22"/>
          <w:szCs w:val="22"/>
        </w:rPr>
        <w:t xml:space="preserve">(2) one-time emergency stabilization payments to resolve a discrete crisis that would otherwise result in the loss of housing, including a car repair, medical bill, or comparable documented shock;</w:t>
      </w:r>
    </w:p>
    <w:p>
      <w:pPr>
        <w:spacing w:after="140" w:line="276"/>
        <w:jc w:val="both"/>
      </w:pPr>
      <w:r>
        <w:rPr>
          <w:rFonts w:ascii="Times New Roman" w:cs="Times New Roman" w:eastAsia="Times New Roman" w:hAnsi="Times New Roman"/>
          <w:sz w:val="22"/>
          <w:szCs w:val="22"/>
        </w:rPr>
        <w:t xml:space="preserve">(3) housing stability services;</w:t>
      </w:r>
    </w:p>
    <w:p>
      <w:pPr>
        <w:spacing w:after="140" w:line="276"/>
        <w:jc w:val="both"/>
      </w:pPr>
      <w:r>
        <w:rPr>
          <w:rFonts w:ascii="Times New Roman" w:cs="Times New Roman" w:eastAsia="Times New Roman" w:hAnsi="Times New Roman"/>
          <w:sz w:val="22"/>
          <w:szCs w:val="22"/>
        </w:rPr>
        <w:t xml:space="preserve">(4) housing problem-solving and diversion assistance, including relocation costs, family reunification costs, and transportation, where such assistance resolves the housing crisis without shelter entry;</w:t>
      </w:r>
    </w:p>
    <w:p>
      <w:pPr>
        <w:spacing w:after="140" w:line="276"/>
        <w:jc w:val="both"/>
      </w:pPr>
      <w:r>
        <w:rPr>
          <w:rFonts w:ascii="Times New Roman" w:cs="Times New Roman" w:eastAsia="Times New Roman" w:hAnsi="Times New Roman"/>
          <w:sz w:val="22"/>
          <w:szCs w:val="22"/>
        </w:rPr>
        <w:t xml:space="preserve">(5) moving costs, storage costs, and application and screening fees;</w:t>
      </w:r>
    </w:p>
    <w:p>
      <w:pPr>
        <w:spacing w:after="140" w:line="276"/>
        <w:jc w:val="both"/>
      </w:pPr>
      <w:r>
        <w:rPr>
          <w:rFonts w:ascii="Times New Roman" w:cs="Times New Roman" w:eastAsia="Times New Roman" w:hAnsi="Times New Roman"/>
          <w:sz w:val="22"/>
          <w:szCs w:val="22"/>
        </w:rPr>
        <w:t xml:space="preserve">(6) recovery of identification documents and vital records necessary to obtain housing or employment; and</w:t>
      </w:r>
    </w:p>
    <w:p>
      <w:pPr>
        <w:spacing w:after="140" w:line="276"/>
        <w:jc w:val="both"/>
      </w:pPr>
      <w:r>
        <w:rPr>
          <w:rFonts w:ascii="Times New Roman" w:cs="Times New Roman" w:eastAsia="Times New Roman" w:hAnsi="Times New Roman"/>
          <w:sz w:val="22"/>
          <w:szCs w:val="22"/>
        </w:rPr>
        <w:t xml:space="preserve">(7) flexible assistance, as defined by the Secretary, in an amount not exceeding 10 percent of a grant, for costs necessary to prevent the homelessness of a specific household but not otherwise enumerated.</w:t>
      </w:r>
    </w:p>
    <w:p>
      <w:pPr>
        <w:spacing w:after="140" w:line="276"/>
        <w:jc w:val="both"/>
      </w:pPr>
      <w:r>
        <w:rPr>
          <w:rFonts w:ascii="Times New Roman" w:cs="Times New Roman" w:eastAsia="Times New Roman" w:hAnsi="Times New Roman"/>
          <w:sz w:val="22"/>
          <w:szCs w:val="22"/>
        </w:rPr>
        <w:t xml:space="preserve">(b) PRIORITY OF DIRECT CURE.—Where the crisis is nonpayment of rent or utilities, payment shall be made directly to the housing provider or utility wherever practicable.</w:t>
      </w:r>
    </w:p>
    <w:p>
      <w:pPr>
        <w:spacing w:after="120" w:before="280"/>
        <w:jc w:val="left"/>
      </w:pPr>
      <w:r>
        <w:rPr>
          <w:rFonts w:ascii="Times New Roman" w:cs="Times New Roman" w:eastAsia="Times New Roman" w:hAnsi="Times New Roman"/>
          <w:b/>
          <w:bCs/>
          <w:sz w:val="23"/>
          <w:szCs w:val="23"/>
        </w:rPr>
        <w:t xml:space="preserve">SEC. 103. NO-PREREQUISITE AND RAPID-RESPONSE STANDARDS.</w:t>
      </w:r>
    </w:p>
    <w:p>
      <w:pPr>
        <w:spacing w:after="140" w:line="276"/>
        <w:jc w:val="both"/>
      </w:pPr>
      <w:r>
        <w:rPr>
          <w:rFonts w:ascii="Times New Roman" w:cs="Times New Roman" w:eastAsia="Times New Roman" w:hAnsi="Times New Roman"/>
          <w:sz w:val="22"/>
          <w:szCs w:val="22"/>
        </w:rPr>
        <w:t xml:space="preserve">(a) NO SHELTER PREREQUISITE.—A grantee may not require a household to enter emergency shelter, or to become homeless, as a condition of receiving assistance under this title. It is the policy of the United States that a family should not have to lose its home in order to qualify for help keeping it.</w:t>
      </w:r>
    </w:p>
    <w:p>
      <w:pPr>
        <w:spacing w:after="140" w:line="276"/>
        <w:jc w:val="both"/>
      </w:pPr>
      <w:r>
        <w:rPr>
          <w:rFonts w:ascii="Times New Roman" w:cs="Times New Roman" w:eastAsia="Times New Roman" w:hAnsi="Times New Roman"/>
          <w:sz w:val="22"/>
          <w:szCs w:val="22"/>
        </w:rPr>
        <w:t xml:space="preserve">(b) RAPID RESPONSE.—Each grantee shall establish, and report performance against, a standard under which an eligible household in imminent crisis receives a determination not later than 72 hours after a complete application, and assistance sufficient to resolve an imminent housing loss is delivered before the date of that loss, to the maximum extent practicable.</w:t>
      </w:r>
    </w:p>
    <w:p>
      <w:pPr>
        <w:spacing w:after="140" w:line="276"/>
        <w:jc w:val="both"/>
      </w:pPr>
      <w:r>
        <w:rPr>
          <w:rFonts w:ascii="Times New Roman" w:cs="Times New Roman" w:eastAsia="Times New Roman" w:hAnsi="Times New Roman"/>
          <w:sz w:val="22"/>
          <w:szCs w:val="22"/>
        </w:rPr>
        <w:t xml:space="preserve">(c) SINGLE POINT OF ENTRY.—Each grantee shall maintain a clearly published means — which may include a telephone line, a physical location, and an online portal — through which a household in crisis can request assistance without needing to know which agency administers which program.</w:t>
      </w:r>
    </w:p>
    <w:p>
      <w:pPr>
        <w:spacing w:after="120" w:before="280"/>
        <w:jc w:val="left"/>
      </w:pPr>
      <w:r>
        <w:rPr>
          <w:rFonts w:ascii="Times New Roman" w:cs="Times New Roman" w:eastAsia="Times New Roman" w:hAnsi="Times New Roman"/>
          <w:b/>
          <w:bCs/>
          <w:sz w:val="23"/>
          <w:szCs w:val="23"/>
        </w:rPr>
        <w:t xml:space="preserve">SEC. 104. TARGETING AND PROGRAM INTEGRITY.</w:t>
      </w:r>
    </w:p>
    <w:p>
      <w:pPr>
        <w:spacing w:after="140" w:line="276"/>
        <w:jc w:val="both"/>
      </w:pPr>
      <w:r>
        <w:rPr>
          <w:rFonts w:ascii="Times New Roman" w:cs="Times New Roman" w:eastAsia="Times New Roman" w:hAnsi="Times New Roman"/>
          <w:sz w:val="22"/>
          <w:szCs w:val="22"/>
        </w:rPr>
        <w:t xml:space="preserve">(a) TARGETING.—Each grantee shall target assistance under this title using documented risk factors validated by research or by the grantee's own outcome data, and shall give priority to households with incomes at or below 50 percent of area median income and to households facing imminent housing loss.</w:t>
      </w:r>
    </w:p>
    <w:p>
      <w:pPr>
        <w:spacing w:after="140" w:line="276"/>
        <w:jc w:val="both"/>
      </w:pPr>
      <w:r>
        <w:rPr>
          <w:rFonts w:ascii="Times New Roman" w:cs="Times New Roman" w:eastAsia="Times New Roman" w:hAnsi="Times New Roman"/>
          <w:sz w:val="22"/>
          <w:szCs w:val="22"/>
        </w:rPr>
        <w:t xml:space="preserve">(b) LIMITATION ON AUTOMATED DENIAL.—No household may be denied assistance under this Act solely on the basis of a predictive risk score generated by an automated system. Any automated tool used in the administration of this Act shall be subject to human review, published methodology, and periodic disparity testing.</w:t>
      </w:r>
    </w:p>
    <w:p>
      <w:pPr>
        <w:spacing w:after="140" w:line="276"/>
        <w:jc w:val="both"/>
      </w:pPr>
      <w:r>
        <w:rPr>
          <w:rFonts w:ascii="Times New Roman" w:cs="Times New Roman" w:eastAsia="Times New Roman" w:hAnsi="Times New Roman"/>
          <w:sz w:val="22"/>
          <w:szCs w:val="22"/>
        </w:rPr>
        <w:t xml:space="preserve">(c) PROGRAM INTEGRITY.—The Secretary shall require of each grantee documentation standards proportionate to the size and type of assistance; verification of tenancy and of the underlying crisis for arrears payments; annual independent financial audit for grantees above a threshold set by the Secretary; and referral of suspected fraud to the Inspector General. The Secretary shall report improper payment estimates for the program annually, and shall incorporate the documented lessons of the Emergency Rental Assistance program of 2021–2022 with respect to both speed and integrity.</w:t>
      </w:r>
    </w:p>
    <w:p>
      <w:pPr>
        <w:spacing w:after="140" w:line="276"/>
        <w:jc w:val="both"/>
      </w:pPr>
      <w:r>
        <w:rPr>
          <w:rFonts w:ascii="Times New Roman" w:cs="Times New Roman" w:eastAsia="Times New Roman" w:hAnsi="Times New Roman"/>
          <w:sz w:val="22"/>
          <w:szCs w:val="22"/>
        </w:rPr>
        <w:t xml:space="preserve">(d) DUPLICATION.—Assistance under this title shall supplement, and may not duplicate for the same cost and period, assistance received under any other Federal program.</w:t>
      </w:r>
    </w:p>
    <w:p>
      <w:pPr>
        <w:spacing w:after="120" w:before="280"/>
        <w:jc w:val="left"/>
      </w:pPr>
      <w:r>
        <w:rPr>
          <w:rFonts w:ascii="Times New Roman" w:cs="Times New Roman" w:eastAsia="Times New Roman" w:hAnsi="Times New Roman"/>
          <w:b/>
          <w:bCs/>
          <w:sz w:val="23"/>
          <w:szCs w:val="23"/>
        </w:rPr>
        <w:t xml:space="preserve">SEC. 105. HOUSING PROVIDER PARTICIPATION.</w:t>
      </w:r>
    </w:p>
    <w:p>
      <w:pPr>
        <w:spacing w:after="140" w:line="276"/>
        <w:jc w:val="both"/>
      </w:pPr>
      <w:r>
        <w:rPr>
          <w:rFonts w:ascii="Times New Roman" w:cs="Times New Roman" w:eastAsia="Times New Roman" w:hAnsi="Times New Roman"/>
          <w:sz w:val="22"/>
          <w:szCs w:val="22"/>
        </w:rPr>
        <w:t xml:space="preserve">(a) VOLUNTARY.—Participation by a housing provider in any activity under this Act is voluntary.</w:t>
      </w:r>
    </w:p>
    <w:p>
      <w:pPr>
        <w:spacing w:after="140" w:line="276"/>
        <w:jc w:val="both"/>
      </w:pPr>
      <w:r>
        <w:rPr>
          <w:rFonts w:ascii="Times New Roman" w:cs="Times New Roman" w:eastAsia="Times New Roman" w:hAnsi="Times New Roman"/>
          <w:sz w:val="22"/>
          <w:szCs w:val="22"/>
        </w:rPr>
        <w:t xml:space="preserve">(b) PROMPT PAYMENT.—A grantee shall issue payment of approved arrears or rent to a participating housing provider not later than 30 days after approval, and shall establish an expedited process for small housing providers.</w:t>
      </w:r>
    </w:p>
    <w:p>
      <w:pPr>
        <w:spacing w:after="140" w:line="276"/>
        <w:jc w:val="both"/>
      </w:pPr>
      <w:r>
        <w:rPr>
          <w:rFonts w:ascii="Times New Roman" w:cs="Times New Roman" w:eastAsia="Times New Roman" w:hAnsi="Times New Roman"/>
          <w:sz w:val="22"/>
          <w:szCs w:val="22"/>
        </w:rPr>
        <w:t xml:space="preserve">(c) HOUSING PROVIDER MITIGATION RESERVE.—A grantee may use up to 5 percent of a grant under this title for a mitigation reserve to reimburse participating housing providers for documented damages or unpaid rent in excess of a security deposit incurred with respect to a household assisted under this Act, as an inducement to rent to households the market would otherwise screen out.</w:t>
      </w:r>
    </w:p>
    <w:p>
      <w:pPr>
        <w:spacing w:after="140" w:line="276"/>
        <w:jc w:val="both"/>
      </w:pPr>
      <w:r>
        <w:rPr>
          <w:rFonts w:ascii="Times New Roman" w:cs="Times New Roman" w:eastAsia="Times New Roman" w:hAnsi="Times New Roman"/>
          <w:sz w:val="22"/>
          <w:szCs w:val="22"/>
        </w:rPr>
        <w:t xml:space="preserve">(d) NO WAIVER OF RIGHTS REQUIRED.—Acceptance of payment under this title cures the nonpayment to which it is applied but does not otherwise abridge the lawful rights of a housing provider.</w:t>
      </w:r>
    </w:p>
    <w:p>
      <w:pPr>
        <w:spacing w:after="120" w:before="280"/>
        <w:jc w:val="left"/>
      </w:pPr>
      <w:r>
        <w:rPr>
          <w:rFonts w:ascii="Times New Roman" w:cs="Times New Roman" w:eastAsia="Times New Roman" w:hAnsi="Times New Roman"/>
          <w:b/>
          <w:bCs/>
          <w:sz w:val="23"/>
          <w:szCs w:val="23"/>
        </w:rPr>
        <w:t xml:space="preserve">SEC. 106. RURAL, TRIBAL, AND TERRITORIAL ALLOCATIONS.</w:t>
      </w:r>
    </w:p>
    <w:p>
      <w:pPr>
        <w:spacing w:after="140" w:line="276"/>
        <w:jc w:val="both"/>
      </w:pPr>
      <w:r>
        <w:rPr>
          <w:rFonts w:ascii="Times New Roman" w:cs="Times New Roman" w:eastAsia="Times New Roman" w:hAnsi="Times New Roman"/>
          <w:sz w:val="22"/>
          <w:szCs w:val="22"/>
        </w:rPr>
        <w:t xml:space="preserve">Of the amounts made available for this title for a fiscal year, not less than 10 percent shall be used in rural areas; not less than 5 percent shall be made available for Indian Tribes and tribally designated housing entities; and not less than 1 percent shall be made available for the territories. Amounts under this section that remain unobligated after 18 months may be reallocated under section 101(b).</w:t>
      </w:r>
    </w:p>
    <w:p>
      <w:pPr>
        <w:spacing w:after="160" w:before="360"/>
        <w:jc w:val="center"/>
      </w:pPr>
      <w:r>
        <w:rPr>
          <w:rFonts w:ascii="Times New Roman" w:cs="Times New Roman" w:eastAsia="Times New Roman" w:hAnsi="Times New Roman"/>
          <w:b/>
          <w:bCs/>
          <w:sz w:val="26"/>
          <w:szCs w:val="26"/>
        </w:rPr>
        <w:t xml:space="preserve">TITLE II—EVICTION PREVENTION AND COURT-BASED DIVERSION</w:t>
      </w:r>
    </w:p>
    <w:p>
      <w:pPr>
        <w:spacing w:after="120" w:before="280"/>
        <w:jc w:val="left"/>
      </w:pPr>
      <w:r>
        <w:rPr>
          <w:rFonts w:ascii="Times New Roman" w:cs="Times New Roman" w:eastAsia="Times New Roman" w:hAnsi="Times New Roman"/>
          <w:b/>
          <w:bCs/>
          <w:sz w:val="23"/>
          <w:szCs w:val="23"/>
        </w:rPr>
        <w:t xml:space="preserve">SEC. 201. EVICTION DIVERSION GRANTS.</w:t>
      </w:r>
    </w:p>
    <w:p>
      <w:pPr>
        <w:spacing w:after="140" w:line="276"/>
        <w:jc w:val="both"/>
      </w:pPr>
      <w:r>
        <w:rPr>
          <w:rFonts w:ascii="Times New Roman" w:cs="Times New Roman" w:eastAsia="Times New Roman" w:hAnsi="Times New Roman"/>
          <w:sz w:val="22"/>
          <w:szCs w:val="22"/>
        </w:rPr>
        <w:t xml:space="preserve">(a) IN GENERAL.—The Secretary shall provide grants to eligible entities to establish or expand eviction diversion, including—</w:t>
      </w:r>
    </w:p>
    <w:p>
      <w:pPr>
        <w:spacing w:after="140" w:line="276"/>
        <w:jc w:val="both"/>
      </w:pPr>
      <w:r>
        <w:rPr>
          <w:rFonts w:ascii="Times New Roman" w:cs="Times New Roman" w:eastAsia="Times New Roman" w:hAnsi="Times New Roman"/>
          <w:sz w:val="22"/>
          <w:szCs w:val="22"/>
        </w:rPr>
        <w:t xml:space="preserve">(1) landlord-tenant mediation and pre-filing resolution programs;</w:t>
      </w:r>
    </w:p>
    <w:p>
      <w:pPr>
        <w:spacing w:after="140" w:line="276"/>
        <w:jc w:val="both"/>
      </w:pPr>
      <w:r>
        <w:rPr>
          <w:rFonts w:ascii="Times New Roman" w:cs="Times New Roman" w:eastAsia="Times New Roman" w:hAnsi="Times New Roman"/>
          <w:sz w:val="22"/>
          <w:szCs w:val="22"/>
        </w:rPr>
        <w:t xml:space="preserve">(2) emergency rental assistance delivered at or before the point of court filing, coordinated with title I;</w:t>
      </w:r>
    </w:p>
    <w:p>
      <w:pPr>
        <w:spacing w:after="140" w:line="276"/>
        <w:jc w:val="both"/>
      </w:pPr>
      <w:r>
        <w:rPr>
          <w:rFonts w:ascii="Times New Roman" w:cs="Times New Roman" w:eastAsia="Times New Roman" w:hAnsi="Times New Roman"/>
          <w:sz w:val="22"/>
          <w:szCs w:val="22"/>
        </w:rPr>
        <w:t xml:space="preserve">(3) legal information, advice, and representation for income-eligible tenants, and legal assistance for small housing providers, in eviction and habitability matters;</w:t>
      </w:r>
    </w:p>
    <w:p>
      <w:pPr>
        <w:spacing w:after="140" w:line="276"/>
        <w:jc w:val="both"/>
      </w:pPr>
      <w:r>
        <w:rPr>
          <w:rFonts w:ascii="Times New Roman" w:cs="Times New Roman" w:eastAsia="Times New Roman" w:hAnsi="Times New Roman"/>
          <w:sz w:val="22"/>
          <w:szCs w:val="22"/>
        </w:rPr>
        <w:t xml:space="preserve">(4) court navigation and self-help services; and</w:t>
      </w:r>
    </w:p>
    <w:p>
      <w:pPr>
        <w:spacing w:after="140" w:line="276"/>
        <w:jc w:val="both"/>
      </w:pPr>
      <w:r>
        <w:rPr>
          <w:rFonts w:ascii="Times New Roman" w:cs="Times New Roman" w:eastAsia="Times New Roman" w:hAnsi="Times New Roman"/>
          <w:sz w:val="22"/>
          <w:szCs w:val="22"/>
        </w:rPr>
        <w:t xml:space="preserve">(5) outreach triggered by notices of nonpayment or termination, where permitted by law.</w:t>
      </w:r>
    </w:p>
    <w:p>
      <w:pPr>
        <w:spacing w:after="140" w:line="276"/>
        <w:jc w:val="both"/>
      </w:pPr>
      <w:r>
        <w:rPr>
          <w:rFonts w:ascii="Times New Roman" w:cs="Times New Roman" w:eastAsia="Times New Roman" w:hAnsi="Times New Roman"/>
          <w:sz w:val="22"/>
          <w:szCs w:val="22"/>
        </w:rPr>
        <w:t xml:space="preserve">(b) DESIGN PRINCIPLE.—Programs under this section shall be designed so that the fastest path for each party — the tenant remaining housed, the housing provider being made whole, or a dignified relocation — is also the easiest path.</w:t>
      </w:r>
    </w:p>
    <w:p>
      <w:pPr>
        <w:spacing w:after="120" w:before="280"/>
        <w:jc w:val="left"/>
      </w:pPr>
      <w:r>
        <w:rPr>
          <w:rFonts w:ascii="Times New Roman" w:cs="Times New Roman" w:eastAsia="Times New Roman" w:hAnsi="Times New Roman"/>
          <w:b/>
          <w:bCs/>
          <w:sz w:val="23"/>
          <w:szCs w:val="23"/>
        </w:rPr>
        <w:t xml:space="preserve">SEC. 202. STATE COURT PARTNERSHIP.</w:t>
      </w:r>
    </w:p>
    <w:p>
      <w:pPr>
        <w:spacing w:after="140" w:line="276"/>
        <w:jc w:val="both"/>
      </w:pPr>
      <w:r>
        <w:rPr>
          <w:rFonts w:ascii="Times New Roman" w:cs="Times New Roman" w:eastAsia="Times New Roman" w:hAnsi="Times New Roman"/>
          <w:sz w:val="22"/>
          <w:szCs w:val="22"/>
        </w:rPr>
        <w:t xml:space="preserve">(a) GRANTS.—The Secretary, in consultation with the Director of the State Justice Institute, may make grants to State and Tribal courts and court administrative offices to establish eviction diversion calendars, pre-trial resolution conferences, and data reporting on eviction filings and outcomes.</w:t>
      </w:r>
    </w:p>
    <w:p>
      <w:pPr>
        <w:spacing w:after="140" w:line="276"/>
        <w:jc w:val="both"/>
      </w:pPr>
      <w:r>
        <w:rPr>
          <w:rFonts w:ascii="Times New Roman" w:cs="Times New Roman" w:eastAsia="Times New Roman" w:hAnsi="Times New Roman"/>
          <w:sz w:val="22"/>
          <w:szCs w:val="22"/>
        </w:rPr>
        <w:t xml:space="preserve">(b) VOLUNTARY.—Participation by any court is voluntary, and nothing in this Act directs the outcome of any case or alters the substantive law applied by any court.</w:t>
      </w:r>
    </w:p>
    <w:p>
      <w:pPr>
        <w:spacing w:after="120" w:before="280"/>
        <w:jc w:val="left"/>
      </w:pPr>
      <w:r>
        <w:rPr>
          <w:rFonts w:ascii="Times New Roman" w:cs="Times New Roman" w:eastAsia="Times New Roman" w:hAnsi="Times New Roman"/>
          <w:b/>
          <w:bCs/>
          <w:sz w:val="23"/>
          <w:szCs w:val="23"/>
        </w:rPr>
        <w:t xml:space="preserve">SEC. 203. EMERGENCY ASSISTANCE FOR SUDDEN ECONOMIC SHOCK.</w:t>
      </w:r>
    </w:p>
    <w:p>
      <w:pPr>
        <w:spacing w:after="140" w:line="276"/>
        <w:jc w:val="both"/>
      </w:pPr>
      <w:r>
        <w:rPr>
          <w:rFonts w:ascii="Times New Roman" w:cs="Times New Roman" w:eastAsia="Times New Roman" w:hAnsi="Times New Roman"/>
          <w:sz w:val="22"/>
          <w:szCs w:val="22"/>
        </w:rPr>
        <w:t xml:space="preserve">(a) IN GENERAL.—From amounts made available for this title, the Secretary shall reserve not less than 25 percent for an emergency assistance fund, modeled on the bipartisan Eviction Crisis Act proposal, to provide rapid, one-time or short-duration assistance to low-income renter households facing housing instability due to an unexpected economic shock, together with housing stability services not exceeding 25 percent of amounts under this section.</w:t>
      </w:r>
    </w:p>
    <w:p>
      <w:pPr>
        <w:spacing w:after="140" w:line="276"/>
        <w:jc w:val="both"/>
      </w:pPr>
      <w:r>
        <w:rPr>
          <w:rFonts w:ascii="Times New Roman" w:cs="Times New Roman" w:eastAsia="Times New Roman" w:hAnsi="Times New Roman"/>
          <w:sz w:val="22"/>
          <w:szCs w:val="22"/>
        </w:rPr>
        <w:t xml:space="preserve">(b) EVALUATION.—Assistance under this section shall be administered so as to permit rigorous evaluation of effectiveness, including, where feasible and ethical, randomized or quasi-experimental designs under section 603.</w:t>
      </w:r>
    </w:p>
    <w:p>
      <w:pPr>
        <w:spacing w:after="120" w:before="280"/>
        <w:jc w:val="left"/>
      </w:pPr>
      <w:r>
        <w:rPr>
          <w:rFonts w:ascii="Times New Roman" w:cs="Times New Roman" w:eastAsia="Times New Roman" w:hAnsi="Times New Roman"/>
          <w:b/>
          <w:bCs/>
          <w:sz w:val="23"/>
          <w:szCs w:val="23"/>
        </w:rPr>
        <w:t xml:space="preserve">SEC. 204. RULES OF CONSTRUCTION.</w:t>
      </w:r>
    </w:p>
    <w:p>
      <w:pPr>
        <w:spacing w:after="140" w:line="276"/>
        <w:jc w:val="both"/>
      </w:pPr>
      <w:r>
        <w:rPr>
          <w:rFonts w:ascii="Times New Roman" w:cs="Times New Roman" w:eastAsia="Times New Roman" w:hAnsi="Times New Roman"/>
          <w:sz w:val="22"/>
          <w:szCs w:val="22"/>
        </w:rPr>
        <w:t xml:space="preserve">Nothing in this title—</w:t>
      </w:r>
    </w:p>
    <w:p>
      <w:pPr>
        <w:spacing w:after="140" w:line="276"/>
        <w:jc w:val="both"/>
      </w:pPr>
      <w:r>
        <w:rPr>
          <w:rFonts w:ascii="Times New Roman" w:cs="Times New Roman" w:eastAsia="Times New Roman" w:hAnsi="Times New Roman"/>
          <w:sz w:val="22"/>
          <w:szCs w:val="22"/>
        </w:rPr>
        <w:t xml:space="preserve">(1) preempts, modifies, or displaces any provision of State, Tribal, or local landlord-tenant law;</w:t>
      </w:r>
    </w:p>
    <w:p>
      <w:pPr>
        <w:spacing w:after="140" w:line="276"/>
        <w:jc w:val="both"/>
      </w:pPr>
      <w:r>
        <w:rPr>
          <w:rFonts w:ascii="Times New Roman" w:cs="Times New Roman" w:eastAsia="Times New Roman" w:hAnsi="Times New Roman"/>
          <w:sz w:val="22"/>
          <w:szCs w:val="22"/>
        </w:rPr>
        <w:t xml:space="preserve">(2) limits any right, remedy, or defense otherwise available to any tenant or housing provider; or</w:t>
      </w:r>
    </w:p>
    <w:p>
      <w:pPr>
        <w:spacing w:after="140" w:line="276"/>
        <w:jc w:val="both"/>
      </w:pPr>
      <w:r>
        <w:rPr>
          <w:rFonts w:ascii="Times New Roman" w:cs="Times New Roman" w:eastAsia="Times New Roman" w:hAnsi="Times New Roman"/>
          <w:sz w:val="22"/>
          <w:szCs w:val="22"/>
        </w:rPr>
        <w:t xml:space="preserve">(3) conditions any assistance under any other Federal program on a State or locality's substantive landlord-tenant policy.</w:t>
      </w:r>
    </w:p>
    <w:p>
      <w:pPr>
        <w:spacing w:after="160" w:before="360"/>
        <w:jc w:val="center"/>
      </w:pPr>
      <w:r>
        <w:rPr>
          <w:rFonts w:ascii="Times New Roman" w:cs="Times New Roman" w:eastAsia="Times New Roman" w:hAnsi="Times New Roman"/>
          <w:b/>
          <w:bCs/>
          <w:sz w:val="26"/>
          <w:szCs w:val="26"/>
        </w:rPr>
        <w:t xml:space="preserve">TITLE III—NO EXIT INTO HOMELESSNESS</w:t>
      </w:r>
    </w:p>
    <w:p>
      <w:pPr>
        <w:spacing w:after="120" w:before="280"/>
        <w:jc w:val="left"/>
      </w:pPr>
      <w:r>
        <w:rPr>
          <w:rFonts w:ascii="Times New Roman" w:cs="Times New Roman" w:eastAsia="Times New Roman" w:hAnsi="Times New Roman"/>
          <w:b/>
          <w:bCs/>
          <w:sz w:val="23"/>
          <w:szCs w:val="23"/>
        </w:rPr>
        <w:t xml:space="preserve">SEC. 301. FEDERAL DISCHARGE STANDARD.</w:t>
      </w:r>
    </w:p>
    <w:p>
      <w:pPr>
        <w:spacing w:after="140" w:line="276"/>
        <w:jc w:val="both"/>
      </w:pPr>
      <w:r>
        <w:rPr>
          <w:rFonts w:ascii="Times New Roman" w:cs="Times New Roman" w:eastAsia="Times New Roman" w:hAnsi="Times New Roman"/>
          <w:sz w:val="22"/>
          <w:szCs w:val="22"/>
        </w:rPr>
        <w:t xml:space="preserve">(a) POLICY.—It is the policy of the United States that no person is discharged from the custody or residential care of the Federal Government into homelessness.</w:t>
      </w:r>
    </w:p>
    <w:p>
      <w:pPr>
        <w:spacing w:after="140" w:line="276"/>
        <w:jc w:val="both"/>
      </w:pPr>
      <w:r>
        <w:rPr>
          <w:rFonts w:ascii="Times New Roman" w:cs="Times New Roman" w:eastAsia="Times New Roman" w:hAnsi="Times New Roman"/>
          <w:sz w:val="22"/>
          <w:szCs w:val="22"/>
        </w:rPr>
        <w:t xml:space="preserve">(b) FEDERAL FACILITIES.—Not later than 1 year after the date of enactment of this Act, the Director of the Bureau of Prisons, the Secretary of Veterans Affairs (with respect to residential care), the Secretary of Health and Human Services (with respect to facilities operated by the Indian Health Service and residential programs directly operated by the Department), and the Secretary of Defense (with respect to separating servicemembers under section 305) shall each implement discharge protocols under which, before a scheduled release or discharge, each person is screened for housing risk; a documented housing plan is completed for each person screened as at risk; identification documents and benefit applications for which the person is eligible are completed to the extent practicable before release; and a warm handoff is made to a receiving community provider.</w:t>
      </w:r>
    </w:p>
    <w:p>
      <w:pPr>
        <w:spacing w:after="140" w:line="276"/>
        <w:jc w:val="both"/>
      </w:pPr>
      <w:r>
        <w:rPr>
          <w:rFonts w:ascii="Times New Roman" w:cs="Times New Roman" w:eastAsia="Times New Roman" w:hAnsi="Times New Roman"/>
          <w:sz w:val="22"/>
          <w:szCs w:val="22"/>
        </w:rPr>
        <w:t xml:space="preserve">(c) REPORTING.—Each official described in subsection (b) shall report annually to the Council the number of persons released, the number screened as at risk of homelessness, and the number released without a housing plan, and the Council shall publish such data.</w:t>
      </w:r>
    </w:p>
    <w:p>
      <w:pPr>
        <w:spacing w:after="120" w:before="280"/>
        <w:jc w:val="left"/>
      </w:pPr>
      <w:r>
        <w:rPr>
          <w:rFonts w:ascii="Times New Roman" w:cs="Times New Roman" w:eastAsia="Times New Roman" w:hAnsi="Times New Roman"/>
          <w:b/>
          <w:bCs/>
          <w:sz w:val="23"/>
          <w:szCs w:val="23"/>
        </w:rPr>
        <w:t xml:space="preserve">SEC. 302. STATE AND LOCAL DISCHARGE PARTNERSHIP GRANTS.</w:t>
      </w:r>
    </w:p>
    <w:p>
      <w:pPr>
        <w:spacing w:after="140" w:line="276"/>
        <w:jc w:val="both"/>
      </w:pPr>
      <w:r>
        <w:rPr>
          <w:rFonts w:ascii="Times New Roman" w:cs="Times New Roman" w:eastAsia="Times New Roman" w:hAnsi="Times New Roman"/>
          <w:sz w:val="22"/>
          <w:szCs w:val="22"/>
        </w:rPr>
        <w:t xml:space="preserve">(a) IN GENERAL.—The Secretary shall provide grants to eligible entities, in partnership with covered institutions, to establish discharge-to-housing programs, including in-reach housing navigation before release or discharge; documentation and benefits enrollment before release; short-term post-release housing assistance coordinated with title I; and recovery residence placement where chosen by the individual.</w:t>
      </w:r>
    </w:p>
    <w:p>
      <w:pPr>
        <w:spacing w:after="140" w:line="276"/>
        <w:jc w:val="both"/>
      </w:pPr>
      <w:r>
        <w:rPr>
          <w:rFonts w:ascii="Times New Roman" w:cs="Times New Roman" w:eastAsia="Times New Roman" w:hAnsi="Times New Roman"/>
          <w:sz w:val="22"/>
          <w:szCs w:val="22"/>
        </w:rPr>
        <w:t xml:space="preserve">(b) PRIORITY.—Priority shall be given to partnerships that serve jails and prisons, hospitals and psychiatric facilities, and child welfare systems with documented volumes of discharge into homelessness, and that commit to measuring and publishing their discharge-to-homelessness rates.</w:t>
      </w:r>
    </w:p>
    <w:p>
      <w:pPr>
        <w:spacing w:after="140" w:line="276"/>
        <w:jc w:val="both"/>
      </w:pPr>
      <w:r>
        <w:rPr>
          <w:rFonts w:ascii="Times New Roman" w:cs="Times New Roman" w:eastAsia="Times New Roman" w:hAnsi="Times New Roman"/>
          <w:sz w:val="22"/>
          <w:szCs w:val="22"/>
        </w:rPr>
        <w:t xml:space="preserve">(c) MEDICAID COORDINATION.—The Secretary of Health and Human Services shall issue and maintain guidance to States on the use of authorities under title XIX of the Social Security Act, including demonstration authority under section 1115, for pre-release enrollment and for housing-related supports and case management consistent with law, and shall provide technical assistance to States electing to use such authorities.</w:t>
      </w:r>
    </w:p>
    <w:p>
      <w:pPr>
        <w:spacing w:after="120" w:before="280"/>
        <w:jc w:val="left"/>
      </w:pPr>
      <w:r>
        <w:rPr>
          <w:rFonts w:ascii="Times New Roman" w:cs="Times New Roman" w:eastAsia="Times New Roman" w:hAnsi="Times New Roman"/>
          <w:b/>
          <w:bCs/>
          <w:sz w:val="23"/>
          <w:szCs w:val="23"/>
        </w:rPr>
        <w:t xml:space="preserve">SEC. 303. FOSTER YOUTH HOUSING BRIDGE.</w:t>
      </w:r>
    </w:p>
    <w:p>
      <w:pPr>
        <w:spacing w:after="140" w:line="276"/>
        <w:jc w:val="both"/>
      </w:pPr>
      <w:r>
        <w:rPr>
          <w:rFonts w:ascii="Times New Roman" w:cs="Times New Roman" w:eastAsia="Times New Roman" w:hAnsi="Times New Roman"/>
          <w:sz w:val="22"/>
          <w:szCs w:val="22"/>
        </w:rPr>
        <w:t xml:space="preserve">(a) IN GENERAL.—The Secretary, jointly with the Secretary of Health and Human Services, shall provide grants for housing navigation, rental assistance, and housing stability services for youth and young adults aged 16 through 26 who are in, or have exited, foster care, coordinated with the John H. Chafee Foster Care Program for Successful Transition to Adulthood.</w:t>
      </w:r>
    </w:p>
    <w:p>
      <w:pPr>
        <w:spacing w:after="140" w:line="276"/>
        <w:jc w:val="both"/>
      </w:pPr>
      <w:r>
        <w:rPr>
          <w:rFonts w:ascii="Times New Roman" w:cs="Times New Roman" w:eastAsia="Times New Roman" w:hAnsi="Times New Roman"/>
          <w:sz w:val="22"/>
          <w:szCs w:val="22"/>
        </w:rPr>
        <w:t xml:space="preserve">(b) DESIGN.—Assistance under this section shall be designed on the principle that no young person ages out of public care into the street, and shall permit continued assistance notwithstanding intermittent education, employment, or program participation.</w:t>
      </w:r>
    </w:p>
    <w:p>
      <w:pPr>
        <w:spacing w:after="120" w:before="280"/>
        <w:jc w:val="left"/>
      </w:pPr>
      <w:r>
        <w:rPr>
          <w:rFonts w:ascii="Times New Roman" w:cs="Times New Roman" w:eastAsia="Times New Roman" w:hAnsi="Times New Roman"/>
          <w:b/>
          <w:bCs/>
          <w:sz w:val="23"/>
          <w:szCs w:val="23"/>
        </w:rPr>
        <w:t xml:space="preserve">SEC. 304. REENTRY HOUSING NAVIGATION.</w:t>
      </w:r>
    </w:p>
    <w:p>
      <w:pPr>
        <w:spacing w:after="140" w:line="276"/>
        <w:jc w:val="both"/>
      </w:pPr>
      <w:r>
        <w:rPr>
          <w:rFonts w:ascii="Times New Roman" w:cs="Times New Roman" w:eastAsia="Times New Roman" w:hAnsi="Times New Roman"/>
          <w:sz w:val="22"/>
          <w:szCs w:val="22"/>
        </w:rPr>
        <w:t xml:space="preserve">Grants under section 302 serving persons leaving incarceration may be used for housing-focused case management beginning not later than 90 days before scheduled release; assistance with obtaining housing notwithstanding screening barriers related to conviction history, through mitigation funds under section 105(c), housing provider engagement, and certificate-of-relief processes where available under State law; and coordination with employment and supervision requirements so that housing, work, and supervision reinforce rather than obstruct one another.</w:t>
      </w:r>
    </w:p>
    <w:p>
      <w:pPr>
        <w:spacing w:after="120" w:before="280"/>
        <w:jc w:val="left"/>
      </w:pPr>
      <w:r>
        <w:rPr>
          <w:rFonts w:ascii="Times New Roman" w:cs="Times New Roman" w:eastAsia="Times New Roman" w:hAnsi="Times New Roman"/>
          <w:b/>
          <w:bCs/>
          <w:sz w:val="23"/>
          <w:szCs w:val="23"/>
        </w:rPr>
        <w:t xml:space="preserve">SEC. 305. SERVICEMEMBER TRANSITION COORDINATION.</w:t>
      </w:r>
    </w:p>
    <w:p>
      <w:pPr>
        <w:spacing w:after="140" w:line="276"/>
        <w:jc w:val="both"/>
      </w:pPr>
      <w:r>
        <w:rPr>
          <w:rFonts w:ascii="Times New Roman" w:cs="Times New Roman" w:eastAsia="Times New Roman" w:hAnsi="Times New Roman"/>
          <w:sz w:val="22"/>
          <w:szCs w:val="22"/>
        </w:rPr>
        <w:t xml:space="preserve">The Secretary of Defense and the Secretary of Veterans Affairs shall ensure that the Transition Assistance Program includes housing-risk screening and, for servicemembers screened as at risk, a direct referral to the Supportive Services for Veteran Families program, the HUD-VASH program, or a community provider, before separation.</w:t>
      </w:r>
    </w:p>
    <w:p>
      <w:pPr>
        <w:spacing w:after="160" w:before="360"/>
        <w:jc w:val="center"/>
      </w:pPr>
      <w:r>
        <w:rPr>
          <w:rFonts w:ascii="Times New Roman" w:cs="Times New Roman" w:eastAsia="Times New Roman" w:hAnsi="Times New Roman"/>
          <w:b/>
          <w:bCs/>
          <w:sz w:val="26"/>
          <w:szCs w:val="26"/>
        </w:rPr>
        <w:t xml:space="preserve">TITLE IV—STABILIZATION HOUSING AND RECOVERY SUPPORTS</w:t>
      </w:r>
    </w:p>
    <w:p>
      <w:pPr>
        <w:spacing w:after="120" w:before="280"/>
        <w:jc w:val="left"/>
      </w:pPr>
      <w:r>
        <w:rPr>
          <w:rFonts w:ascii="Times New Roman" w:cs="Times New Roman" w:eastAsia="Times New Roman" w:hAnsi="Times New Roman"/>
          <w:b/>
          <w:bCs/>
          <w:sz w:val="23"/>
          <w:szCs w:val="23"/>
        </w:rPr>
        <w:t xml:space="preserve">SEC. 401. STABILIZATION HOUSING GRANTS.</w:t>
      </w:r>
    </w:p>
    <w:p>
      <w:pPr>
        <w:spacing w:after="140" w:line="276"/>
        <w:jc w:val="both"/>
      </w:pPr>
      <w:r>
        <w:rPr>
          <w:rFonts w:ascii="Times New Roman" w:cs="Times New Roman" w:eastAsia="Times New Roman" w:hAnsi="Times New Roman"/>
          <w:sz w:val="22"/>
          <w:szCs w:val="22"/>
        </w:rPr>
        <w:t xml:space="preserve">(a) IN GENERAL.—The Secretary shall provide grants to eligible entities for the capital costs, operating costs, and service coordination costs of stabilization housing for persons experiencing chronic homelessness and persons who are high utilizers of public crisis systems.</w:t>
      </w:r>
    </w:p>
    <w:p>
      <w:pPr>
        <w:spacing w:after="140" w:line="276"/>
        <w:jc w:val="both"/>
      </w:pPr>
      <w:r>
        <w:rPr>
          <w:rFonts w:ascii="Times New Roman" w:cs="Times New Roman" w:eastAsia="Times New Roman" w:hAnsi="Times New Roman"/>
          <w:sz w:val="22"/>
          <w:szCs w:val="22"/>
        </w:rPr>
        <w:t xml:space="preserve">(b) ELIGIBLE ACTIVITIES.—Grants under this section may be used for acquisition, new construction, rehabilitation, adaptive reuse of vacant or underused property (including commercial property), master-leasing, operating reserves, and the coordination — but not the direct provision, except as permitted under other law — of health, behavioral health, and employment services funded through programs for which residents are eligible.</w:t>
      </w:r>
    </w:p>
    <w:p>
      <w:pPr>
        <w:spacing w:after="140" w:line="276"/>
        <w:jc w:val="both"/>
      </w:pPr>
      <w:r>
        <w:rPr>
          <w:rFonts w:ascii="Times New Roman" w:cs="Times New Roman" w:eastAsia="Times New Roman" w:hAnsi="Times New Roman"/>
          <w:sz w:val="22"/>
          <w:szCs w:val="22"/>
        </w:rPr>
        <w:t xml:space="preserve">(c) OUTCOME CONDITION.—Beginning in the third year of a grant, continued funding shall be conditioned on demonstrated performance against the measures in section 502, with technical assistance and a cure period before any reduction.</w:t>
      </w:r>
    </w:p>
    <w:p>
      <w:pPr>
        <w:spacing w:after="140" w:line="276"/>
        <w:jc w:val="both"/>
      </w:pPr>
      <w:r>
        <w:rPr>
          <w:rFonts w:ascii="Times New Roman" w:cs="Times New Roman" w:eastAsia="Times New Roman" w:hAnsi="Times New Roman"/>
          <w:sz w:val="22"/>
          <w:szCs w:val="22"/>
        </w:rPr>
        <w:t xml:space="preserve">(d) COST DISCIPLINE.—The Secretary shall publish annually the per-unit development and operating costs of projects funded under this section, by market, and shall establish cost benchmarks; projects exceeding benchmarks shall document the reasons.</w:t>
      </w:r>
    </w:p>
    <w:p>
      <w:pPr>
        <w:spacing w:after="120" w:before="280"/>
        <w:jc w:val="left"/>
      </w:pPr>
      <w:r>
        <w:rPr>
          <w:rFonts w:ascii="Times New Roman" w:cs="Times New Roman" w:eastAsia="Times New Roman" w:hAnsi="Times New Roman"/>
          <w:b/>
          <w:bCs/>
          <w:sz w:val="23"/>
          <w:szCs w:val="23"/>
        </w:rPr>
        <w:t xml:space="preserve">SEC. 402. RECOVERY HOUSING STANDARDS.</w:t>
      </w:r>
    </w:p>
    <w:p>
      <w:pPr>
        <w:spacing w:after="140" w:line="276"/>
        <w:jc w:val="both"/>
      </w:pPr>
      <w:r>
        <w:rPr>
          <w:rFonts w:ascii="Times New Roman" w:cs="Times New Roman" w:eastAsia="Times New Roman" w:hAnsi="Times New Roman"/>
          <w:sz w:val="22"/>
          <w:szCs w:val="22"/>
        </w:rPr>
        <w:t xml:space="preserve">(a) CERTIFICATION.—The Secretary of Health and Human Services, in consultation with national recovery residence certifying organizations and States, shall maintain voluntary national quality standards for recovery residences, addressing resident rights, safety, ethical operation (including prohibitions on patient brokering), naloxone availability, and returns-to-use protocols that do not result in automatic discharge to the street.</w:t>
      </w:r>
    </w:p>
    <w:p>
      <w:pPr>
        <w:spacing w:after="140" w:line="276"/>
        <w:jc w:val="both"/>
      </w:pPr>
      <w:r>
        <w:rPr>
          <w:rFonts w:ascii="Times New Roman" w:cs="Times New Roman" w:eastAsia="Times New Roman" w:hAnsi="Times New Roman"/>
          <w:sz w:val="22"/>
          <w:szCs w:val="22"/>
        </w:rPr>
        <w:t xml:space="preserve">(b) ELIGIBILITY.—A recovery residence certified against the standards under subsection (a), or under an equivalent State certification, is an eligible use of funds under section 302 and section 401 for persons who choose recovery housing.</w:t>
      </w:r>
    </w:p>
    <w:p>
      <w:pPr>
        <w:spacing w:after="120" w:before="280"/>
        <w:jc w:val="left"/>
      </w:pPr>
      <w:r>
        <w:rPr>
          <w:rFonts w:ascii="Times New Roman" w:cs="Times New Roman" w:eastAsia="Times New Roman" w:hAnsi="Times New Roman"/>
          <w:b/>
          <w:bCs/>
          <w:sz w:val="23"/>
          <w:szCs w:val="23"/>
        </w:rPr>
        <w:t xml:space="preserve">SEC. 403. MODEL PLURALITY; NO DEAD ENDS.</w:t>
      </w:r>
    </w:p>
    <w:p>
      <w:pPr>
        <w:spacing w:after="140" w:line="276"/>
        <w:jc w:val="both"/>
      </w:pPr>
      <w:r>
        <w:rPr>
          <w:rFonts w:ascii="Times New Roman" w:cs="Times New Roman" w:eastAsia="Times New Roman" w:hAnsi="Times New Roman"/>
          <w:sz w:val="22"/>
          <w:szCs w:val="22"/>
        </w:rPr>
        <w:t xml:space="preserve">(a) NO FEDERAL SERVICE-MODEL MANDATE.—Nothing in this Act requires, and the Secretary may not require, prefer, or penalize, any particular service philosophy or model — including immediate-access models and recovery-oriented or treatment-first models — as a condition of funding under this Act. Funding decisions under this Act shall be governed by outcomes measured under section 502.</w:t>
      </w:r>
    </w:p>
    <w:p>
      <w:pPr>
        <w:spacing w:after="140" w:line="276"/>
        <w:jc w:val="both"/>
      </w:pPr>
      <w:r>
        <w:rPr>
          <w:rFonts w:ascii="Times New Roman" w:cs="Times New Roman" w:eastAsia="Times New Roman" w:hAnsi="Times New Roman"/>
          <w:sz w:val="22"/>
          <w:szCs w:val="22"/>
        </w:rPr>
        <w:t xml:space="preserve">(b) NO DEAD ENDS.—Each community receiving funds under this title shall maintain a community plan under which—</w:t>
      </w:r>
    </w:p>
    <w:p>
      <w:pPr>
        <w:spacing w:after="140" w:line="276"/>
        <w:jc w:val="both"/>
      </w:pPr>
      <w:r>
        <w:rPr>
          <w:rFonts w:ascii="Times New Roman" w:cs="Times New Roman" w:eastAsia="Times New Roman" w:hAnsi="Times New Roman"/>
          <w:sz w:val="22"/>
          <w:szCs w:val="22"/>
        </w:rPr>
        <w:t xml:space="preserve">(1) an individual who declines a particular program or service is not, for that reason alone, left without access to any assistance under this Act available in the community;</w:t>
      </w:r>
    </w:p>
    <w:p>
      <w:pPr>
        <w:spacing w:after="140" w:line="276"/>
        <w:jc w:val="both"/>
      </w:pPr>
      <w:r>
        <w:rPr>
          <w:rFonts w:ascii="Times New Roman" w:cs="Times New Roman" w:eastAsia="Times New Roman" w:hAnsi="Times New Roman"/>
          <w:sz w:val="22"/>
          <w:szCs w:val="22"/>
        </w:rPr>
        <w:t xml:space="preserve">(2) both immediate-access and recovery-oriented options are identified in the plan, whether funded under this Act or otherwise, or the community documents its plan to develop the missing option; and</w:t>
      </w:r>
    </w:p>
    <w:p>
      <w:pPr>
        <w:spacing w:after="140" w:line="276"/>
        <w:jc w:val="both"/>
      </w:pPr>
      <w:r>
        <w:rPr>
          <w:rFonts w:ascii="Times New Roman" w:cs="Times New Roman" w:eastAsia="Times New Roman" w:hAnsi="Times New Roman"/>
          <w:sz w:val="22"/>
          <w:szCs w:val="22"/>
        </w:rPr>
        <w:t xml:space="preserve">(3) no participating program discharges a person to the street as a disciplinary measure without a documented alternative placement offer.</w:t>
      </w:r>
    </w:p>
    <w:p>
      <w:pPr>
        <w:spacing w:after="140" w:line="276"/>
        <w:jc w:val="both"/>
      </w:pPr>
      <w:r>
        <w:rPr>
          <w:rFonts w:ascii="Times New Roman" w:cs="Times New Roman" w:eastAsia="Times New Roman" w:hAnsi="Times New Roman"/>
          <w:sz w:val="22"/>
          <w:szCs w:val="22"/>
        </w:rPr>
        <w:t xml:space="preserve">(c) INDIVIDUAL CHOICE.—A person's acceptance of stabilization housing may not be conditioned on participation in religious activity, and participation in services within a chosen program shall be consistent with the program's disclosed design and the person's informed consent.</w:t>
      </w:r>
    </w:p>
    <w:p>
      <w:pPr>
        <w:spacing w:after="120" w:before="280"/>
        <w:jc w:val="left"/>
      </w:pPr>
      <w:r>
        <w:rPr>
          <w:rFonts w:ascii="Times New Roman" w:cs="Times New Roman" w:eastAsia="Times New Roman" w:hAnsi="Times New Roman"/>
          <w:b/>
          <w:bCs/>
          <w:sz w:val="23"/>
          <w:szCs w:val="23"/>
        </w:rPr>
        <w:t xml:space="preserve">SEC. 404. USE OF EXISTING PROPERTY AND SUPPLY AUTHORITIES.</w:t>
      </w:r>
    </w:p>
    <w:p>
      <w:pPr>
        <w:spacing w:after="140" w:line="276"/>
        <w:jc w:val="both"/>
      </w:pPr>
      <w:r>
        <w:rPr>
          <w:rFonts w:ascii="Times New Roman" w:cs="Times New Roman" w:eastAsia="Times New Roman" w:hAnsi="Times New Roman"/>
          <w:sz w:val="22"/>
          <w:szCs w:val="22"/>
        </w:rPr>
        <w:t xml:space="preserve">(a) SURPLUS PROPERTY.—The Secretary, the Administrator of General Services, and the Secretary of Health and Human Services shall streamline, and report annually on, the use of title V of the McKinney-Vento Homeless Assistance Act (40 U.S.C. 550 note; 42 U.S.C. 11411) to make suitable surplus Federal property available for stabilization housing and recovery residences.</w:t>
      </w:r>
    </w:p>
    <w:p>
      <w:pPr>
        <w:spacing w:after="140" w:line="276"/>
        <w:jc w:val="both"/>
      </w:pPr>
      <w:r>
        <w:rPr>
          <w:rFonts w:ascii="Times New Roman" w:cs="Times New Roman" w:eastAsia="Times New Roman" w:hAnsi="Times New Roman"/>
          <w:sz w:val="22"/>
          <w:szCs w:val="22"/>
        </w:rPr>
        <w:t xml:space="preserve">(b) COORDINATION WITH SUPPLY LAW.—The Secretary shall ensure that eligible entities under this Act receive technical assistance to make use of the supply, conversion, manufactured housing, and streamlining authorities enacted in 2026, so that units produced under those authorities are accessible to households assisted under this Act.</w:t>
      </w:r>
    </w:p>
    <w:p>
      <w:pPr>
        <w:spacing w:after="160" w:before="360"/>
        <w:jc w:val="center"/>
      </w:pPr>
      <w:r>
        <w:rPr>
          <w:rFonts w:ascii="Times New Roman" w:cs="Times New Roman" w:eastAsia="Times New Roman" w:hAnsi="Times New Roman"/>
          <w:b/>
          <w:bCs/>
          <w:sz w:val="26"/>
          <w:szCs w:val="26"/>
        </w:rPr>
        <w:t xml:space="preserve">TITLE V—PAY FOR RESULTS</w:t>
      </w:r>
    </w:p>
    <w:p>
      <w:pPr>
        <w:spacing w:after="120" w:before="280"/>
        <w:jc w:val="left"/>
      </w:pPr>
      <w:r>
        <w:rPr>
          <w:rFonts w:ascii="Times New Roman" w:cs="Times New Roman" w:eastAsia="Times New Roman" w:hAnsi="Times New Roman"/>
          <w:b/>
          <w:bCs/>
          <w:sz w:val="23"/>
          <w:szCs w:val="23"/>
        </w:rPr>
        <w:t xml:space="preserve">SEC. 501. EXPANSION OF SOCIAL IMPACT PARTNERSHIPS FOR HOUSING STABILITY OUTCOMES.</w:t>
      </w:r>
    </w:p>
    <w:p>
      <w:pPr>
        <w:spacing w:after="140" w:line="276"/>
        <w:jc w:val="both"/>
      </w:pPr>
      <w:r>
        <w:rPr>
          <w:rFonts w:ascii="Times New Roman" w:cs="Times New Roman" w:eastAsia="Times New Roman" w:hAnsi="Times New Roman"/>
          <w:sz w:val="22"/>
          <w:szCs w:val="22"/>
        </w:rPr>
        <w:t xml:space="preserve">(a) IN GENERAL.—The Social Impact Partnerships to Pay for Results Act (subtitle C of title XX of the Social Security Act; 42 U.S.C. 1397n et seq.) is amended so as to—</w:t>
      </w:r>
    </w:p>
    <w:p>
      <w:pPr>
        <w:spacing w:after="140" w:line="276"/>
        <w:jc w:val="both"/>
      </w:pPr>
      <w:r>
        <w:rPr>
          <w:rFonts w:ascii="Times New Roman" w:cs="Times New Roman" w:eastAsia="Times New Roman" w:hAnsi="Times New Roman"/>
          <w:sz w:val="22"/>
          <w:szCs w:val="22"/>
        </w:rPr>
        <w:t xml:space="preserve">(1) extend the availability of the program and its funding through fiscal year 2036;</w:t>
      </w:r>
    </w:p>
    <w:p>
      <w:pPr>
        <w:spacing w:after="140" w:line="276"/>
        <w:jc w:val="both"/>
      </w:pPr>
      <w:r>
        <w:rPr>
          <w:rFonts w:ascii="Times New Roman" w:cs="Times New Roman" w:eastAsia="Times New Roman" w:hAnsi="Times New Roman"/>
          <w:sz w:val="22"/>
          <w:szCs w:val="22"/>
        </w:rPr>
        <w:t xml:space="preserve">(2) specify homelessness prevention, reductions in chronic and veteran homelessness, discharge-to-housing outcomes, and housing stability of families as priority outcomes;</w:t>
      </w:r>
    </w:p>
    <w:p>
      <w:pPr>
        <w:spacing w:after="140" w:line="276"/>
        <w:jc w:val="both"/>
      </w:pPr>
      <w:r>
        <w:rPr>
          <w:rFonts w:ascii="Times New Roman" w:cs="Times New Roman" w:eastAsia="Times New Roman" w:hAnsi="Times New Roman"/>
          <w:sz w:val="22"/>
          <w:szCs w:val="22"/>
        </w:rPr>
        <w:t xml:space="preserve">(3) permit outcome payments to reflect verified savings accruing to Federal, State, and local governments, with State and local shares payable under intergovernmental agreements; and</w:t>
      </w:r>
    </w:p>
    <w:p>
      <w:pPr>
        <w:spacing w:after="140" w:line="276"/>
        <w:jc w:val="both"/>
      </w:pPr>
      <w:r>
        <w:rPr>
          <w:rFonts w:ascii="Times New Roman" w:cs="Times New Roman" w:eastAsia="Times New Roman" w:hAnsi="Times New Roman"/>
          <w:sz w:val="22"/>
          <w:szCs w:val="22"/>
        </w:rPr>
        <w:t xml:space="preserve">(4) streamline application and evaluation procedures for projects replicating a design already independently evaluated under the Act.</w:t>
      </w:r>
    </w:p>
    <w:p>
      <w:pPr>
        <w:spacing w:after="140" w:line="276"/>
        <w:jc w:val="both"/>
      </w:pPr>
      <w:r>
        <w:rPr>
          <w:rFonts w:ascii="Times New Roman" w:cs="Times New Roman" w:eastAsia="Times New Roman" w:hAnsi="Times New Roman"/>
          <w:sz w:val="22"/>
          <w:szCs w:val="22"/>
        </w:rPr>
        <w:t xml:space="preserve">[Drafting note: conforming amendments to specific subsections of 42 U.S.C. 1397n–1397n-6 to be supplied by Legislative Counsel.]</w:t>
      </w:r>
    </w:p>
    <w:p>
      <w:pPr>
        <w:spacing w:after="140" w:line="276"/>
        <w:jc w:val="both"/>
      </w:pPr>
      <w:r>
        <w:rPr>
          <w:rFonts w:ascii="Times New Roman" w:cs="Times New Roman" w:eastAsia="Times New Roman" w:hAnsi="Times New Roman"/>
          <w:sz w:val="22"/>
          <w:szCs w:val="22"/>
        </w:rPr>
        <w:t xml:space="preserve">(b) FUNDING.—There is authorized to be appropriated $250,000,000 to the fund established under such Act, to remain available through fiscal year 2031, of which not less than 15 percent shall be reserved for independent evaluation costs.</w:t>
      </w:r>
    </w:p>
    <w:p>
      <w:pPr>
        <w:spacing w:after="140" w:line="276"/>
        <w:jc w:val="both"/>
      </w:pPr>
      <w:r>
        <w:rPr>
          <w:rFonts w:ascii="Times New Roman" w:cs="Times New Roman" w:eastAsia="Times New Roman" w:hAnsi="Times New Roman"/>
          <w:sz w:val="22"/>
          <w:szCs w:val="22"/>
        </w:rPr>
        <w:t xml:space="preserve">(c) PRINCIPLE.—Payments under this title are made only for outcomes achieved and independently verified, and are capped at the value of the public savings attributable to those outcomes.</w:t>
      </w:r>
    </w:p>
    <w:p>
      <w:pPr>
        <w:spacing w:after="120" w:before="280"/>
        <w:jc w:val="left"/>
      </w:pPr>
      <w:r>
        <w:rPr>
          <w:rFonts w:ascii="Times New Roman" w:cs="Times New Roman" w:eastAsia="Times New Roman" w:hAnsi="Times New Roman"/>
          <w:b/>
          <w:bCs/>
          <w:sz w:val="23"/>
          <w:szCs w:val="23"/>
        </w:rPr>
        <w:t xml:space="preserve">SEC. 502. STANDARD OUTCOME MEASURES.</w:t>
      </w:r>
    </w:p>
    <w:p>
      <w:pPr>
        <w:spacing w:after="140" w:line="276"/>
        <w:jc w:val="both"/>
      </w:pPr>
      <w:r>
        <w:rPr>
          <w:rFonts w:ascii="Times New Roman" w:cs="Times New Roman" w:eastAsia="Times New Roman" w:hAnsi="Times New Roman"/>
          <w:sz w:val="22"/>
          <w:szCs w:val="22"/>
        </w:rPr>
        <w:t xml:space="preserve">(a) IN GENERAL.—Not later than 180 days after the date of enactment of this Act, the Secretary, acting through the Council and in consultation with the Secretary of Health and Human Services, the Secretary of Veterans Affairs, State and local grantees, housing providers, and persons with lived experience of homelessness, shall establish standard outcome measures for all programs under this Act, including—</w:t>
      </w:r>
    </w:p>
    <w:p>
      <w:pPr>
        <w:spacing w:after="140" w:line="276"/>
        <w:jc w:val="both"/>
      </w:pPr>
      <w:r>
        <w:rPr>
          <w:rFonts w:ascii="Times New Roman" w:cs="Times New Roman" w:eastAsia="Times New Roman" w:hAnsi="Times New Roman"/>
          <w:sz w:val="22"/>
          <w:szCs w:val="22"/>
        </w:rPr>
        <w:t xml:space="preserve">(1) housing retention at 12 and 24 months;</w:t>
      </w:r>
    </w:p>
    <w:p>
      <w:pPr>
        <w:spacing w:after="140" w:line="276"/>
        <w:jc w:val="both"/>
      </w:pPr>
      <w:r>
        <w:rPr>
          <w:rFonts w:ascii="Times New Roman" w:cs="Times New Roman" w:eastAsia="Times New Roman" w:hAnsi="Times New Roman"/>
          <w:sz w:val="22"/>
          <w:szCs w:val="22"/>
        </w:rPr>
        <w:t xml:space="preserve">(2) returns to homelessness within 24 months;</w:t>
      </w:r>
    </w:p>
    <w:p>
      <w:pPr>
        <w:spacing w:after="140" w:line="276"/>
        <w:jc w:val="both"/>
      </w:pPr>
      <w:r>
        <w:rPr>
          <w:rFonts w:ascii="Times New Roman" w:cs="Times New Roman" w:eastAsia="Times New Roman" w:hAnsi="Times New Roman"/>
          <w:sz w:val="22"/>
          <w:szCs w:val="22"/>
        </w:rPr>
        <w:t xml:space="preserve">(3) time from request to assistance;</w:t>
      </w:r>
    </w:p>
    <w:p>
      <w:pPr>
        <w:spacing w:after="140" w:line="276"/>
        <w:jc w:val="both"/>
      </w:pPr>
      <w:r>
        <w:rPr>
          <w:rFonts w:ascii="Times New Roman" w:cs="Times New Roman" w:eastAsia="Times New Roman" w:hAnsi="Times New Roman"/>
          <w:sz w:val="22"/>
          <w:szCs w:val="22"/>
        </w:rPr>
        <w:t xml:space="preserve">(4) exits from homelessness to permanent housing;</w:t>
      </w:r>
    </w:p>
    <w:p>
      <w:pPr>
        <w:spacing w:after="140" w:line="276"/>
        <w:jc w:val="both"/>
      </w:pPr>
      <w:r>
        <w:rPr>
          <w:rFonts w:ascii="Times New Roman" w:cs="Times New Roman" w:eastAsia="Times New Roman" w:hAnsi="Times New Roman"/>
          <w:sz w:val="22"/>
          <w:szCs w:val="22"/>
        </w:rPr>
        <w:t xml:space="preserve">(5) discharge-to-homelessness rates of partner institutions;</w:t>
      </w:r>
    </w:p>
    <w:p>
      <w:pPr>
        <w:spacing w:after="140" w:line="276"/>
        <w:jc w:val="both"/>
      </w:pPr>
      <w:r>
        <w:rPr>
          <w:rFonts w:ascii="Times New Roman" w:cs="Times New Roman" w:eastAsia="Times New Roman" w:hAnsi="Times New Roman"/>
          <w:sz w:val="22"/>
          <w:szCs w:val="22"/>
        </w:rPr>
        <w:t xml:space="preserve">(6) employment and income at exit and at 12 months, reported as information and not used to condition housing assistance;</w:t>
      </w:r>
    </w:p>
    <w:p>
      <w:pPr>
        <w:spacing w:after="140" w:line="276"/>
        <w:jc w:val="both"/>
      </w:pPr>
      <w:r>
        <w:rPr>
          <w:rFonts w:ascii="Times New Roman" w:cs="Times New Roman" w:eastAsia="Times New Roman" w:hAnsi="Times New Roman"/>
          <w:sz w:val="22"/>
          <w:szCs w:val="22"/>
        </w:rPr>
        <w:t xml:space="preserve">(7) utilization of emergency departments, crisis services, and jails, where data partnerships permit; and</w:t>
      </w:r>
    </w:p>
    <w:p>
      <w:pPr>
        <w:spacing w:after="140" w:line="276"/>
        <w:jc w:val="both"/>
      </w:pPr>
      <w:r>
        <w:rPr>
          <w:rFonts w:ascii="Times New Roman" w:cs="Times New Roman" w:eastAsia="Times New Roman" w:hAnsi="Times New Roman"/>
          <w:sz w:val="22"/>
          <w:szCs w:val="22"/>
        </w:rPr>
        <w:t xml:space="preserve">(8) functional zero certification status by population.</w:t>
      </w:r>
    </w:p>
    <w:p>
      <w:pPr>
        <w:spacing w:after="140" w:line="276"/>
        <w:jc w:val="both"/>
      </w:pPr>
      <w:r>
        <w:rPr>
          <w:rFonts w:ascii="Times New Roman" w:cs="Times New Roman" w:eastAsia="Times New Roman" w:hAnsi="Times New Roman"/>
          <w:sz w:val="22"/>
          <w:szCs w:val="22"/>
        </w:rPr>
        <w:t xml:space="preserve">(b) PUBLIC REPORTING.—Grantee performance against the measures under subsection (a) shall be published annually, by grantee, in machine-readable form.</w:t>
      </w:r>
    </w:p>
    <w:p>
      <w:pPr>
        <w:spacing w:after="120" w:before="280"/>
        <w:jc w:val="left"/>
      </w:pPr>
      <w:r>
        <w:rPr>
          <w:rFonts w:ascii="Times New Roman" w:cs="Times New Roman" w:eastAsia="Times New Roman" w:hAnsi="Times New Roman"/>
          <w:b/>
          <w:bCs/>
          <w:sz w:val="23"/>
          <w:szCs w:val="23"/>
        </w:rPr>
        <w:t xml:space="preserve">SEC. 503. REINVESTMENT OF VERIFIED SAVINGS.</w:t>
      </w:r>
    </w:p>
    <w:p>
      <w:pPr>
        <w:spacing w:after="140" w:line="276"/>
        <w:jc w:val="both"/>
      </w:pPr>
      <w:r>
        <w:rPr>
          <w:rFonts w:ascii="Times New Roman" w:cs="Times New Roman" w:eastAsia="Times New Roman" w:hAnsi="Times New Roman"/>
          <w:sz w:val="22"/>
          <w:szCs w:val="22"/>
        </w:rPr>
        <w:t xml:space="preserve">A State or unit of general local government that is party to an outcome partnership under this title may, under an agreement with the Secretary of the Treasury, retain and reinvest its share of verified savings in activities authorized under this Act, and such reinvested savings shall not be treated as Federal funds for purposes of matching requirements.</w:t>
      </w:r>
    </w:p>
    <w:p>
      <w:pPr>
        <w:spacing w:after="160" w:before="360"/>
        <w:jc w:val="center"/>
      </w:pPr>
      <w:r>
        <w:rPr>
          <w:rFonts w:ascii="Times New Roman" w:cs="Times New Roman" w:eastAsia="Times New Roman" w:hAnsi="Times New Roman"/>
          <w:b/>
          <w:bCs/>
          <w:sz w:val="26"/>
          <w:szCs w:val="26"/>
        </w:rPr>
        <w:t xml:space="preserve">TITLE VI—DATA, TRANSPARENCY, AND ACCOUNTABILITY</w:t>
      </w:r>
    </w:p>
    <w:p>
      <w:pPr>
        <w:spacing w:after="120" w:before="280"/>
        <w:jc w:val="left"/>
      </w:pPr>
      <w:r>
        <w:rPr>
          <w:rFonts w:ascii="Times New Roman" w:cs="Times New Roman" w:eastAsia="Times New Roman" w:hAnsi="Times New Roman"/>
          <w:b/>
          <w:bCs/>
          <w:sz w:val="23"/>
          <w:szCs w:val="23"/>
        </w:rPr>
        <w:t xml:space="preserve">SEC. 601. DUTIES OF THE UNITED STATES INTERAGENCY COUNCIL ON HOMELESSNESS.</w:t>
      </w:r>
    </w:p>
    <w:p>
      <w:pPr>
        <w:spacing w:after="140" w:line="276"/>
        <w:jc w:val="both"/>
      </w:pPr>
      <w:r>
        <w:rPr>
          <w:rFonts w:ascii="Times New Roman" w:cs="Times New Roman" w:eastAsia="Times New Roman" w:hAnsi="Times New Roman"/>
          <w:sz w:val="22"/>
          <w:szCs w:val="22"/>
        </w:rPr>
        <w:t xml:space="preserve">(a) IN GENERAL.—The Council — and no new council or agency is established by this Act — shall coordinate the implementation of this Act; incorporate homelessness prevention as a distinct component of the Federal strategic plan required under section 203 of the McKinney-Vento Homeless Assistance Act (42 U.S.C. 11313); identify and publish, annually, gaps and duplication across Federal programs that bear on housing stability; and include implementation of this Act in the annual congressional testimony of the Council required under the housing legislation enacted in 2026.</w:t>
      </w:r>
    </w:p>
    <w:p>
      <w:pPr>
        <w:spacing w:after="140" w:line="276"/>
        <w:jc w:val="both"/>
      </w:pPr>
      <w:r>
        <w:rPr>
          <w:rFonts w:ascii="Times New Roman" w:cs="Times New Roman" w:eastAsia="Times New Roman" w:hAnsi="Times New Roman"/>
          <w:sz w:val="22"/>
          <w:szCs w:val="22"/>
        </w:rPr>
        <w:t xml:space="preserve">(b) LIVED EXPERIENCE AND PROVIDER CONSULTATION.—In carrying out this Act, the Council and the Secretary shall consult with persons with lived experience of homelessness, housing providers, service providers (including faith-based providers), courts, sheriffs and police executives, hospitals, and employers.</w:t>
      </w:r>
    </w:p>
    <w:p>
      <w:pPr>
        <w:spacing w:after="120" w:before="280"/>
        <w:jc w:val="left"/>
      </w:pPr>
      <w:r>
        <w:rPr>
          <w:rFonts w:ascii="Times New Roman" w:cs="Times New Roman" w:eastAsia="Times New Roman" w:hAnsi="Times New Roman"/>
          <w:b/>
          <w:bCs/>
          <w:sz w:val="23"/>
          <w:szCs w:val="23"/>
        </w:rPr>
        <w:t xml:space="preserve">SEC. 602. HOUSING STABILITY DATA MODERNIZATION.</w:t>
      </w:r>
    </w:p>
    <w:p>
      <w:pPr>
        <w:spacing w:after="140" w:line="276"/>
        <w:jc w:val="both"/>
      </w:pPr>
      <w:r>
        <w:rPr>
          <w:rFonts w:ascii="Times New Roman" w:cs="Times New Roman" w:eastAsia="Times New Roman" w:hAnsi="Times New Roman"/>
          <w:sz w:val="22"/>
          <w:szCs w:val="22"/>
        </w:rPr>
        <w:t xml:space="preserve">(a) IN GENERAL.—The Secretary shall modernize the Homeless Management Information System framework to support the outcome measures under section 502, including by-name data capability at community option; interoperability standards enabling, with consent and under privacy law, coordination with health, corrections, and child welfare systems for the purposes of this Act; and a public national housing stability dashboard reporting inflow, outflow, and outcomes.</w:t>
      </w:r>
    </w:p>
    <w:p>
      <w:pPr>
        <w:spacing w:after="140" w:line="276"/>
        <w:jc w:val="both"/>
      </w:pPr>
      <w:r>
        <w:rPr>
          <w:rFonts w:ascii="Times New Roman" w:cs="Times New Roman" w:eastAsia="Times New Roman" w:hAnsi="Times New Roman"/>
          <w:sz w:val="22"/>
          <w:szCs w:val="22"/>
        </w:rPr>
        <w:t xml:space="preserve">(b) BURDEN REDUCTION.—The Secretary shall ensure that data requirements under this Act replace, rather than add to, duplicative existing reporting wherever possible, with the objective that frontline staff time spent on duplicative data entry declines.</w:t>
      </w:r>
    </w:p>
    <w:p>
      <w:pPr>
        <w:spacing w:after="120" w:before="280"/>
        <w:jc w:val="left"/>
      </w:pPr>
      <w:r>
        <w:rPr>
          <w:rFonts w:ascii="Times New Roman" w:cs="Times New Roman" w:eastAsia="Times New Roman" w:hAnsi="Times New Roman"/>
          <w:b/>
          <w:bCs/>
          <w:sz w:val="23"/>
          <w:szCs w:val="23"/>
        </w:rPr>
        <w:t xml:space="preserve">SEC. 603. REPORTS; INDEPENDENT EVALUATION.</w:t>
      </w:r>
    </w:p>
    <w:p>
      <w:pPr>
        <w:spacing w:after="140" w:line="276"/>
        <w:jc w:val="both"/>
      </w:pPr>
      <w:r>
        <w:rPr>
          <w:rFonts w:ascii="Times New Roman" w:cs="Times New Roman" w:eastAsia="Times New Roman" w:hAnsi="Times New Roman"/>
          <w:sz w:val="22"/>
          <w:szCs w:val="22"/>
        </w:rPr>
        <w:t xml:space="preserve">(a) ANNUAL REPORT.—Not later than 1 year after the date of enactment of this Act, and annually thereafter, the Secretary shall report to the Committee on Banking, Housing, and Urban Affairs of the Senate and the Committee on Financial Services of the House of Representatives on implementation, performance against the national goal under section 3(b), outcome measures under section 502, improper payment estimates, and recommendations.</w:t>
      </w:r>
    </w:p>
    <w:p>
      <w:pPr>
        <w:spacing w:after="140" w:line="276"/>
        <w:jc w:val="both"/>
      </w:pPr>
      <w:r>
        <w:rPr>
          <w:rFonts w:ascii="Times New Roman" w:cs="Times New Roman" w:eastAsia="Times New Roman" w:hAnsi="Times New Roman"/>
          <w:sz w:val="22"/>
          <w:szCs w:val="22"/>
        </w:rPr>
        <w:t xml:space="preserve">(b) EVALUATION SET-ASIDE.—One percent of amounts made available under this Act shall be reserved for independent evaluation, with priority for randomized and quasi-experimental designs, administered in consultation with the Office of Policy Development and Research.</w:t>
      </w:r>
    </w:p>
    <w:p>
      <w:pPr>
        <w:spacing w:after="140" w:line="276"/>
        <w:jc w:val="both"/>
      </w:pPr>
      <w:r>
        <w:rPr>
          <w:rFonts w:ascii="Times New Roman" w:cs="Times New Roman" w:eastAsia="Times New Roman" w:hAnsi="Times New Roman"/>
          <w:sz w:val="22"/>
          <w:szCs w:val="22"/>
        </w:rPr>
        <w:t xml:space="preserve">(c) GAO.—Not later than 3 years after the date of enactment of this Act, the Comptroller General shall report to Congress on the effectiveness, integrity, and administration of programs under this Act, including recommendations for the reauthorization review under section 705.</w:t>
      </w:r>
    </w:p>
    <w:p>
      <w:pPr>
        <w:spacing w:after="120" w:before="280"/>
        <w:jc w:val="left"/>
      </w:pPr>
      <w:r>
        <w:rPr>
          <w:rFonts w:ascii="Times New Roman" w:cs="Times New Roman" w:eastAsia="Times New Roman" w:hAnsi="Times New Roman"/>
          <w:b/>
          <w:bCs/>
          <w:sz w:val="23"/>
          <w:szCs w:val="23"/>
        </w:rPr>
        <w:t xml:space="preserve">SEC. 604. PRIVACY AND CIVIL LIBERTIES.</w:t>
      </w:r>
    </w:p>
    <w:p>
      <w:pPr>
        <w:spacing w:after="140" w:line="276"/>
        <w:jc w:val="both"/>
      </w:pPr>
      <w:r>
        <w:rPr>
          <w:rFonts w:ascii="Times New Roman" w:cs="Times New Roman" w:eastAsia="Times New Roman" w:hAnsi="Times New Roman"/>
          <w:sz w:val="22"/>
          <w:szCs w:val="22"/>
        </w:rPr>
        <w:t xml:space="preserve">(a) IN GENERAL.—Data collected under this Act shall be collected, used, and shared only for purposes of administering and evaluating assistance under this Act, subject to the privacy and security standards applicable to the Homeless Management Information System and, where applicable, to health records under Federal law.</w:t>
      </w:r>
    </w:p>
    <w:p>
      <w:pPr>
        <w:spacing w:after="140" w:line="276"/>
        <w:jc w:val="both"/>
      </w:pPr>
      <w:r>
        <w:rPr>
          <w:rFonts w:ascii="Times New Roman" w:cs="Times New Roman" w:eastAsia="Times New Roman" w:hAnsi="Times New Roman"/>
          <w:sz w:val="22"/>
          <w:szCs w:val="22"/>
        </w:rPr>
        <w:t xml:space="preserve">(b) PROHIBITIONS.—Data collected under this Act may not be sold; may not be used for immigration enforcement, or disclosed for any law enforcement purpose except pursuant to a judicial warrant or as otherwise required by Federal law; and may not be used to deny assistance in violation of section 104(b).</w:t>
      </w:r>
    </w:p>
    <w:p>
      <w:pPr>
        <w:spacing w:after="160" w:before="360"/>
        <w:jc w:val="center"/>
      </w:pPr>
      <w:r>
        <w:rPr>
          <w:rFonts w:ascii="Times New Roman" w:cs="Times New Roman" w:eastAsia="Times New Roman" w:hAnsi="Times New Roman"/>
          <w:b/>
          <w:bCs/>
          <w:sz w:val="26"/>
          <w:szCs w:val="26"/>
        </w:rPr>
        <w:t xml:space="preserve">TITLE VII—GENERAL PROVISIONS</w:t>
      </w:r>
    </w:p>
    <w:p>
      <w:pPr>
        <w:spacing w:after="120" w:before="280"/>
        <w:jc w:val="left"/>
      </w:pPr>
      <w:r>
        <w:rPr>
          <w:rFonts w:ascii="Times New Roman" w:cs="Times New Roman" w:eastAsia="Times New Roman" w:hAnsi="Times New Roman"/>
          <w:b/>
          <w:bCs/>
          <w:sz w:val="23"/>
          <w:szCs w:val="23"/>
        </w:rPr>
        <w:t xml:space="preserve">SEC. 701. NONDISCRIMINATION; CIVIL RIGHTS.</w:t>
      </w:r>
    </w:p>
    <w:p>
      <w:pPr>
        <w:spacing w:after="140" w:line="276"/>
        <w:jc w:val="both"/>
      </w:pPr>
      <w:r>
        <w:rPr>
          <w:rFonts w:ascii="Times New Roman" w:cs="Times New Roman" w:eastAsia="Times New Roman" w:hAnsi="Times New Roman"/>
          <w:sz w:val="22"/>
          <w:szCs w:val="22"/>
        </w:rPr>
        <w:t xml:space="preserve">Programs and activities under this Act are subject to the Fair Housing Act, title VI of the Civil Rights Act of 1964, section 504 of the Rehabilitation Act of 1973, the Americans with Disabilities Act of 1990, and all other applicable civil rights laws. Assistance under this Act may not be denied on the basis of a household's composition, including the presence of children, or on the basis of a person's status as a survivor of domestic violence.</w:t>
      </w:r>
    </w:p>
    <w:p>
      <w:pPr>
        <w:spacing w:after="120" w:before="280"/>
        <w:jc w:val="left"/>
      </w:pPr>
      <w:r>
        <w:rPr>
          <w:rFonts w:ascii="Times New Roman" w:cs="Times New Roman" w:eastAsia="Times New Roman" w:hAnsi="Times New Roman"/>
          <w:b/>
          <w:bCs/>
          <w:sz w:val="23"/>
          <w:szCs w:val="23"/>
        </w:rPr>
        <w:t xml:space="preserve">SEC. 702. RULES OF CONSTRUCTION; FEDERALISM.</w:t>
      </w:r>
    </w:p>
    <w:p>
      <w:pPr>
        <w:spacing w:after="140" w:line="276"/>
        <w:jc w:val="both"/>
      </w:pPr>
      <w:r>
        <w:rPr>
          <w:rFonts w:ascii="Times New Roman" w:cs="Times New Roman" w:eastAsia="Times New Roman" w:hAnsi="Times New Roman"/>
          <w:sz w:val="22"/>
          <w:szCs w:val="22"/>
        </w:rPr>
        <w:t xml:space="preserve">Nothing in this Act—</w:t>
      </w:r>
    </w:p>
    <w:p>
      <w:pPr>
        <w:spacing w:after="140" w:line="276"/>
        <w:jc w:val="both"/>
      </w:pPr>
      <w:r>
        <w:rPr>
          <w:rFonts w:ascii="Times New Roman" w:cs="Times New Roman" w:eastAsia="Times New Roman" w:hAnsi="Times New Roman"/>
          <w:sz w:val="22"/>
          <w:szCs w:val="22"/>
        </w:rPr>
        <w:t xml:space="preserve">(1) creates a private right of action, or an individual entitlement to housing or assistance;</w:t>
      </w:r>
    </w:p>
    <w:p>
      <w:pPr>
        <w:spacing w:after="140" w:line="276"/>
        <w:jc w:val="both"/>
      </w:pPr>
      <w:r>
        <w:rPr>
          <w:rFonts w:ascii="Times New Roman" w:cs="Times New Roman" w:eastAsia="Times New Roman" w:hAnsi="Times New Roman"/>
          <w:sz w:val="22"/>
          <w:szCs w:val="22"/>
        </w:rPr>
        <w:t xml:space="preserve">(2) preempts or displaces any State, Tribal, or local law respecting land use, zoning, building codes, or landlord-tenant relations;</w:t>
      </w:r>
    </w:p>
    <w:p>
      <w:pPr>
        <w:spacing w:after="140" w:line="276"/>
        <w:jc w:val="both"/>
      </w:pPr>
      <w:r>
        <w:rPr>
          <w:rFonts w:ascii="Times New Roman" w:cs="Times New Roman" w:eastAsia="Times New Roman" w:hAnsi="Times New Roman"/>
          <w:sz w:val="22"/>
          <w:szCs w:val="22"/>
        </w:rPr>
        <w:t xml:space="preserve">(3) requires any State, locality, or Tribe to participate in any program under this Act, or conditions funds available under any other law on such participation;</w:t>
      </w:r>
    </w:p>
    <w:p>
      <w:pPr>
        <w:spacing w:after="140" w:line="276"/>
        <w:jc w:val="both"/>
      </w:pPr>
      <w:r>
        <w:rPr>
          <w:rFonts w:ascii="Times New Roman" w:cs="Times New Roman" w:eastAsia="Times New Roman" w:hAnsi="Times New Roman"/>
          <w:sz w:val="22"/>
          <w:szCs w:val="22"/>
        </w:rPr>
        <w:t xml:space="preserve">(4) limits the authority of any State or locality with respect to the regulation of public property or public order, or expresses any view of Congress with respect to such regulation beyond the finding in section 2(15); or</w:t>
      </w:r>
    </w:p>
    <w:p>
      <w:pPr>
        <w:spacing w:after="140" w:line="276"/>
        <w:jc w:val="both"/>
      </w:pPr>
      <w:r>
        <w:rPr>
          <w:rFonts w:ascii="Times New Roman" w:cs="Times New Roman" w:eastAsia="Times New Roman" w:hAnsi="Times New Roman"/>
          <w:sz w:val="22"/>
          <w:szCs w:val="22"/>
        </w:rPr>
        <w:t xml:space="preserve">(5) authorizes any Federal official to require an individual to accept housing, services, or treatment, except as otherwise provided under law independent of this Act.</w:t>
      </w:r>
    </w:p>
    <w:p>
      <w:pPr>
        <w:spacing w:after="120" w:before="280"/>
        <w:jc w:val="left"/>
      </w:pPr>
      <w:r>
        <w:rPr>
          <w:rFonts w:ascii="Times New Roman" w:cs="Times New Roman" w:eastAsia="Times New Roman" w:hAnsi="Times New Roman"/>
          <w:b/>
          <w:bCs/>
          <w:sz w:val="23"/>
          <w:szCs w:val="23"/>
        </w:rPr>
        <w:t xml:space="preserve">SEC. 703. PARTICIPATION OF COMMUNITY AND FAITH-BASED ORGANIZATIONS.</w:t>
      </w:r>
    </w:p>
    <w:p>
      <w:pPr>
        <w:spacing w:after="140" w:line="276"/>
        <w:jc w:val="both"/>
      </w:pPr>
      <w:r>
        <w:rPr>
          <w:rFonts w:ascii="Times New Roman" w:cs="Times New Roman" w:eastAsia="Times New Roman" w:hAnsi="Times New Roman"/>
          <w:sz w:val="22"/>
          <w:szCs w:val="22"/>
        </w:rPr>
        <w:t xml:space="preserve">Faith-based and community organizations are eligible to participate in programs under this Act on the same basis as any other nonprofit organization, consistent with the First Amendment and applicable law; program funds may not be used for explicitly religious activities, and participation of beneficiaries in such activities shall be voluntary and separate from funded activities.</w:t>
      </w:r>
    </w:p>
    <w:p>
      <w:pPr>
        <w:spacing w:after="120" w:before="280"/>
        <w:jc w:val="left"/>
      </w:pPr>
      <w:r>
        <w:rPr>
          <w:rFonts w:ascii="Times New Roman" w:cs="Times New Roman" w:eastAsia="Times New Roman" w:hAnsi="Times New Roman"/>
          <w:b/>
          <w:bCs/>
          <w:sz w:val="23"/>
          <w:szCs w:val="23"/>
        </w:rPr>
        <w:t xml:space="preserve">SEC. 704. AUTHORIZATION OF APPROPRIATIONS.</w:t>
      </w:r>
    </w:p>
    <w:p>
      <w:pPr>
        <w:spacing w:after="140" w:line="276"/>
        <w:jc w:val="both"/>
      </w:pPr>
      <w:r>
        <w:rPr>
          <w:rFonts w:ascii="Times New Roman" w:cs="Times New Roman" w:eastAsia="Times New Roman" w:hAnsi="Times New Roman"/>
          <w:sz w:val="22"/>
          <w:szCs w:val="22"/>
        </w:rPr>
        <w:t xml:space="preserve">(a) IN GENERAL.—There are authorized to be appropriated, for each of fiscal years 2027 through 2031—</w:t>
      </w:r>
    </w:p>
    <w:p>
      <w:pPr>
        <w:spacing w:after="140" w:line="276"/>
        <w:jc w:val="both"/>
      </w:pPr>
      <w:r>
        <w:rPr>
          <w:rFonts w:ascii="Times New Roman" w:cs="Times New Roman" w:eastAsia="Times New Roman" w:hAnsi="Times New Roman"/>
          <w:sz w:val="22"/>
          <w:szCs w:val="22"/>
        </w:rPr>
        <w:t xml:space="preserve">(1) $3,000,000,000 to carry out title I;</w:t>
      </w:r>
    </w:p>
    <w:p>
      <w:pPr>
        <w:spacing w:after="140" w:line="276"/>
        <w:jc w:val="both"/>
      </w:pPr>
      <w:r>
        <w:rPr>
          <w:rFonts w:ascii="Times New Roman" w:cs="Times New Roman" w:eastAsia="Times New Roman" w:hAnsi="Times New Roman"/>
          <w:sz w:val="22"/>
          <w:szCs w:val="22"/>
        </w:rPr>
        <w:t xml:space="preserve">(2) $400,000,000 to carry out title II;</w:t>
      </w:r>
    </w:p>
    <w:p>
      <w:pPr>
        <w:spacing w:after="140" w:line="276"/>
        <w:jc w:val="both"/>
      </w:pPr>
      <w:r>
        <w:rPr>
          <w:rFonts w:ascii="Times New Roman" w:cs="Times New Roman" w:eastAsia="Times New Roman" w:hAnsi="Times New Roman"/>
          <w:sz w:val="22"/>
          <w:szCs w:val="22"/>
        </w:rPr>
        <w:t xml:space="preserve">(3) $750,000,000 to carry out title III;</w:t>
      </w:r>
    </w:p>
    <w:p>
      <w:pPr>
        <w:spacing w:after="140" w:line="276"/>
        <w:jc w:val="both"/>
      </w:pPr>
      <w:r>
        <w:rPr>
          <w:rFonts w:ascii="Times New Roman" w:cs="Times New Roman" w:eastAsia="Times New Roman" w:hAnsi="Times New Roman"/>
          <w:sz w:val="22"/>
          <w:szCs w:val="22"/>
        </w:rPr>
        <w:t xml:space="preserve">(4) $1,500,000,000 to carry out title IV; and</w:t>
      </w:r>
    </w:p>
    <w:p>
      <w:pPr>
        <w:spacing w:after="140" w:line="276"/>
        <w:jc w:val="both"/>
      </w:pPr>
      <w:r>
        <w:rPr>
          <w:rFonts w:ascii="Times New Roman" w:cs="Times New Roman" w:eastAsia="Times New Roman" w:hAnsi="Times New Roman"/>
          <w:sz w:val="22"/>
          <w:szCs w:val="22"/>
        </w:rPr>
        <w:t xml:space="preserve">(5) $100,000,000 to carry out title VI.</w:t>
      </w:r>
    </w:p>
    <w:p>
      <w:pPr>
        <w:spacing w:after="140" w:line="276"/>
        <w:jc w:val="both"/>
      </w:pPr>
      <w:r>
        <w:rPr>
          <w:rFonts w:ascii="Times New Roman" w:cs="Times New Roman" w:eastAsia="Times New Roman" w:hAnsi="Times New Roman"/>
          <w:sz w:val="22"/>
          <w:szCs w:val="22"/>
        </w:rPr>
        <w:t xml:space="preserve">(b) PAY FOR RESULTS.—Amounts for title V are authorized under section 501(b).</w:t>
      </w:r>
    </w:p>
    <w:p>
      <w:pPr>
        <w:spacing w:after="140" w:line="276"/>
        <w:jc w:val="both"/>
      </w:pPr>
      <w:r>
        <w:rPr>
          <w:rFonts w:ascii="Times New Roman" w:cs="Times New Roman" w:eastAsia="Times New Roman" w:hAnsi="Times New Roman"/>
          <w:sz w:val="22"/>
          <w:szCs w:val="22"/>
        </w:rPr>
        <w:t xml:space="preserve">(c) SUPPLEMENT, NOT SUPPLANT.—Amounts made available under this Act shall supplement, and not supplant, other Federal, State, and local funds for homelessness assistance and prevention.</w:t>
      </w:r>
    </w:p>
    <w:p>
      <w:pPr>
        <w:spacing w:after="140" w:line="276"/>
        <w:jc w:val="both"/>
      </w:pPr>
      <w:r>
        <w:rPr>
          <w:rFonts w:ascii="Times New Roman" w:cs="Times New Roman" w:eastAsia="Times New Roman" w:hAnsi="Times New Roman"/>
          <w:sz w:val="22"/>
          <w:szCs w:val="22"/>
        </w:rPr>
        <w:t xml:space="preserve">(d) CONTEXT.—The annual amounts authorized under subsection (a), totaling $5,750,000,000, are less than the estimated annual public cost of chronic homelessness alone under current conditions, and are structured so that title V payments are made only from verified savings.</w:t>
      </w:r>
    </w:p>
    <w:p>
      <w:pPr>
        <w:spacing w:after="120" w:before="280"/>
        <w:jc w:val="left"/>
      </w:pPr>
      <w:r>
        <w:rPr>
          <w:rFonts w:ascii="Times New Roman" w:cs="Times New Roman" w:eastAsia="Times New Roman" w:hAnsi="Times New Roman"/>
          <w:b/>
          <w:bCs/>
          <w:sz w:val="23"/>
          <w:szCs w:val="23"/>
        </w:rPr>
        <w:t xml:space="preserve">SEC. 705. SUNSET; REAUTHORIZATION REVIEW.</w:t>
      </w:r>
    </w:p>
    <w:p>
      <w:pPr>
        <w:spacing w:after="140" w:line="276"/>
        <w:jc w:val="both"/>
      </w:pPr>
      <w:r>
        <w:rPr>
          <w:rFonts w:ascii="Times New Roman" w:cs="Times New Roman" w:eastAsia="Times New Roman" w:hAnsi="Times New Roman"/>
          <w:sz w:val="22"/>
          <w:szCs w:val="22"/>
        </w:rPr>
        <w:t xml:space="preserve">(a) REVIEW.—During calendar year 2031, the committees of jurisdiction shall review the performance of this Act against the national goal under section 3(b), informed by the reports under section 603.</w:t>
      </w:r>
    </w:p>
    <w:p>
      <w:pPr>
        <w:spacing w:after="140" w:line="276"/>
        <w:jc w:val="both"/>
      </w:pPr>
      <w:r>
        <w:rPr>
          <w:rFonts w:ascii="Times New Roman" w:cs="Times New Roman" w:eastAsia="Times New Roman" w:hAnsi="Times New Roman"/>
          <w:sz w:val="22"/>
          <w:szCs w:val="22"/>
        </w:rPr>
        <w:t xml:space="preserve">(b) SUNSET.—The authorities under titles I through IV of this Act expire on September 30, 2032, unless reauthorized; the amendments made by title V remain in effect according to their terms.</w:t>
      </w:r>
    </w:p>
    <w:p>
      <w:pPr>
        <w:spacing w:after="120" w:before="280"/>
        <w:jc w:val="left"/>
      </w:pPr>
      <w:r>
        <w:rPr>
          <w:rFonts w:ascii="Times New Roman" w:cs="Times New Roman" w:eastAsia="Times New Roman" w:hAnsi="Times New Roman"/>
          <w:b/>
          <w:bCs/>
          <w:sz w:val="23"/>
          <w:szCs w:val="23"/>
        </w:rPr>
        <w:t xml:space="preserve">SEC. 706. SEVERABILITY.</w:t>
      </w:r>
    </w:p>
    <w:p>
      <w:pPr>
        <w:spacing w:after="140" w:line="276"/>
        <w:jc w:val="both"/>
      </w:pPr>
      <w:r>
        <w:rPr>
          <w:rFonts w:ascii="Times New Roman" w:cs="Times New Roman" w:eastAsia="Times New Roman" w:hAnsi="Times New Roman"/>
          <w:sz w:val="22"/>
          <w:szCs w:val="22"/>
        </w:rPr>
        <w:t xml:space="preserve">If any provision of this Act, or the application of such provision to any person or circumstance, is held to be unconstitutional, the remainder of this Act, and the application of the provisions of this Act to any other person or circumstance, shall not be affected.</w:t>
      </w:r>
    </w:p>
    <w:p>
      <w:pPr>
        <w:spacing w:after="120" w:before="280"/>
        <w:jc w:val="left"/>
      </w:pPr>
      <w:r>
        <w:rPr>
          <w:rFonts w:ascii="Times New Roman" w:cs="Times New Roman" w:eastAsia="Times New Roman" w:hAnsi="Times New Roman"/>
          <w:b/>
          <w:bCs/>
          <w:sz w:val="23"/>
          <w:szCs w:val="23"/>
        </w:rPr>
        <w:t xml:space="preserve">SEC. 707. EFFECTIVE DATE; IMPLEMENTATION.</w:t>
      </w:r>
    </w:p>
    <w:p>
      <w:pPr>
        <w:spacing w:after="140" w:line="276"/>
        <w:jc w:val="both"/>
      </w:pPr>
      <w:r>
        <w:rPr>
          <w:rFonts w:ascii="Times New Roman" w:cs="Times New Roman" w:eastAsia="Times New Roman" w:hAnsi="Times New Roman"/>
          <w:sz w:val="22"/>
          <w:szCs w:val="22"/>
        </w:rPr>
        <w:t xml:space="preserve">(a) EFFECTIVE DATE.—This Act takes effect on the date of enactment of this Act.</w:t>
      </w:r>
    </w:p>
    <w:p>
      <w:pPr>
        <w:spacing w:after="140" w:line="276"/>
        <w:jc w:val="both"/>
      </w:pPr>
      <w:r>
        <w:rPr>
          <w:rFonts w:ascii="Times New Roman" w:cs="Times New Roman" w:eastAsia="Times New Roman" w:hAnsi="Times New Roman"/>
          <w:sz w:val="22"/>
          <w:szCs w:val="22"/>
        </w:rPr>
        <w:t xml:space="preserve">(b) IMPLEMENTATION SCHEDULE.—Not later than 90 days after the date of enactment, the Secretary shall issue initial implementation guidance; not later than 180 days after the date of enactment, the Secretary shall begin accepting applications and shall make first awards under title I not later than 270 days after the date of enactment. The Secretary may issue interim final rules to meet the deadlines under this subsection.</w:t>
      </w:r>
    </w:p>
    <w:p>
      <w:pPr>
        <w:spacing w:after="140" w:line="276"/>
        <w:jc w:val="both"/>
      </w:pPr>
      <w:r>
        <w:rPr>
          <w:rFonts w:ascii="Times New Roman" w:cs="Times New Roman" w:eastAsia="Times New Roman" w:hAnsi="Times New Roman"/>
          <w:sz w:val="22"/>
          <w:szCs w:val="22"/>
        </w:rPr>
        <w:t xml:space="preserve">(c) NO NEW AGENCY.—No new Federal agency, office, or council is created by this Act.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5A5F6E"/>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2026-07-25T12:29:37.085Z</dcterms:created>
  <dcterms:modified xsi:type="dcterms:W3CDTF">2026-07-25T12:29:37.085Z</dcterms:modified>
</cp:coreProperties>
</file>

<file path=docProps/custom.xml><?xml version="1.0" encoding="utf-8"?>
<Properties xmlns="http://schemas.openxmlformats.org/officeDocument/2006/custom-properties" xmlns:vt="http://schemas.openxmlformats.org/officeDocument/2006/docPropsVTypes"/>
</file>